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EE1" w:rsidRPr="000F0EE1" w:rsidRDefault="000F0EE1" w:rsidP="000F0E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EE1">
        <w:rPr>
          <w:rFonts w:ascii="Times New Roman" w:hAnsi="Times New Roman" w:cs="Times New Roman"/>
          <w:b/>
          <w:sz w:val="28"/>
          <w:szCs w:val="28"/>
        </w:rPr>
        <w:t>Асимметр</w:t>
      </w:r>
      <w:r w:rsidR="0059160E">
        <w:rPr>
          <w:rFonts w:ascii="Times New Roman" w:hAnsi="Times New Roman" w:cs="Times New Roman"/>
          <w:b/>
          <w:sz w:val="28"/>
          <w:szCs w:val="28"/>
        </w:rPr>
        <w:t>ия листьев березы как индикатор</w:t>
      </w:r>
      <w:bookmarkStart w:id="0" w:name="_GoBack"/>
      <w:bookmarkEnd w:id="0"/>
      <w:r w:rsidRPr="000F0EE1">
        <w:rPr>
          <w:rFonts w:ascii="Times New Roman" w:hAnsi="Times New Roman" w:cs="Times New Roman"/>
          <w:b/>
          <w:sz w:val="28"/>
          <w:szCs w:val="28"/>
        </w:rPr>
        <w:t xml:space="preserve"> загрязненности среды</w:t>
      </w:r>
    </w:p>
    <w:p w:rsidR="000F0EE1" w:rsidRPr="00372283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283">
        <w:rPr>
          <w:rFonts w:ascii="Times New Roman" w:hAnsi="Times New Roman" w:cs="Times New Roman"/>
          <w:sz w:val="24"/>
          <w:szCs w:val="24"/>
        </w:rPr>
        <w:t>Флуктуирующая асимметрия, то есть отклонение в развитии правой и левой сторон потенциально симметричного органа, может являться одним из способов оценки общего воздействия среды на биоту. В данной методике рассматривается флуктуирующая асимметрия листьев березы повислой.</w:t>
      </w:r>
    </w:p>
    <w:p w:rsidR="000F0EE1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283">
        <w:rPr>
          <w:rFonts w:ascii="Times New Roman" w:hAnsi="Times New Roman" w:cs="Times New Roman"/>
          <w:sz w:val="24"/>
          <w:szCs w:val="24"/>
        </w:rPr>
        <w:t>Сбор материала следует проводить после остановки роста листьев (начиная с июля). Каждая выборка должна включать в себя 100 листьев (по 10 листьев с 10 взрослых деревьев) с укороченных побегов растений, находящихся в одинаковых экологических условиях, желательно на открытых участках.</w:t>
      </w:r>
      <w:r w:rsidRPr="008438EA">
        <w:t xml:space="preserve"> </w:t>
      </w:r>
      <w:r w:rsidRPr="008438EA">
        <w:rPr>
          <w:rFonts w:ascii="Times New Roman" w:hAnsi="Times New Roman" w:cs="Times New Roman"/>
          <w:sz w:val="24"/>
          <w:szCs w:val="24"/>
        </w:rPr>
        <w:t>Для измерения ли</w:t>
      </w:r>
      <w:proofErr w:type="gramStart"/>
      <w:r w:rsidRPr="008438EA">
        <w:rPr>
          <w:rFonts w:ascii="Times New Roman" w:hAnsi="Times New Roman" w:cs="Times New Roman"/>
          <w:sz w:val="24"/>
          <w:szCs w:val="24"/>
        </w:rPr>
        <w:t>ст скл</w:t>
      </w:r>
      <w:proofErr w:type="gramEnd"/>
      <w:r w:rsidRPr="008438EA">
        <w:rPr>
          <w:rFonts w:ascii="Times New Roman" w:hAnsi="Times New Roman" w:cs="Times New Roman"/>
          <w:sz w:val="24"/>
          <w:szCs w:val="24"/>
        </w:rPr>
        <w:t>адывают пополам, совмещая верхушку с основанием листовой пластинки. Потом разгибают лист и по образовавшейся складке производят измерения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0EE1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0DA32A" wp14:editId="4C395A86">
            <wp:extent cx="2943225" cy="41400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464" cy="4139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0EE1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8EA">
        <w:rPr>
          <w:rFonts w:ascii="Times New Roman" w:hAnsi="Times New Roman" w:cs="Times New Roman"/>
          <w:sz w:val="24"/>
          <w:szCs w:val="24"/>
        </w:rPr>
        <w:t>Рис. 1. Схема морфологических признаков для оценки стабильности развития березы повислой (Betula pendula)</w:t>
      </w:r>
    </w:p>
    <w:p w:rsidR="000F0EE1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EE1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438EA">
        <w:rPr>
          <w:rFonts w:ascii="Times New Roman" w:hAnsi="Times New Roman" w:cs="Times New Roman"/>
          <w:sz w:val="24"/>
          <w:szCs w:val="24"/>
        </w:rPr>
        <w:t xml:space="preserve"> каждого листа снимают показатели по пяти промерам с левой и правой сторон листа (рис.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438EA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ab/>
      </w:r>
      <w:r w:rsidRPr="008438E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EE1" w:rsidRPr="008438EA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8EA">
        <w:rPr>
          <w:rFonts w:ascii="Times New Roman" w:hAnsi="Times New Roman" w:cs="Times New Roman"/>
          <w:sz w:val="24"/>
          <w:szCs w:val="24"/>
        </w:rPr>
        <w:t xml:space="preserve">1–5 – промеры листа: </w:t>
      </w:r>
    </w:p>
    <w:p w:rsidR="000F0EE1" w:rsidRPr="008438EA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8EA">
        <w:rPr>
          <w:rFonts w:ascii="Times New Roman" w:hAnsi="Times New Roman" w:cs="Times New Roman"/>
          <w:sz w:val="24"/>
          <w:szCs w:val="24"/>
        </w:rPr>
        <w:t>1 – ширина половинк</w:t>
      </w:r>
      <w:r>
        <w:rPr>
          <w:rFonts w:ascii="Times New Roman" w:hAnsi="Times New Roman" w:cs="Times New Roman"/>
          <w:sz w:val="24"/>
          <w:szCs w:val="24"/>
        </w:rPr>
        <w:t>и листа (измерение проводить по</w:t>
      </w:r>
      <w:r w:rsidRPr="008438EA">
        <w:rPr>
          <w:rFonts w:ascii="Times New Roman" w:hAnsi="Times New Roman" w:cs="Times New Roman"/>
          <w:sz w:val="24"/>
          <w:szCs w:val="24"/>
        </w:rPr>
        <w:t xml:space="preserve">середине листовой пластинки); </w:t>
      </w:r>
    </w:p>
    <w:p w:rsidR="000F0EE1" w:rsidRPr="008438EA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8EA">
        <w:rPr>
          <w:rFonts w:ascii="Times New Roman" w:hAnsi="Times New Roman" w:cs="Times New Roman"/>
          <w:sz w:val="24"/>
          <w:szCs w:val="24"/>
        </w:rPr>
        <w:t xml:space="preserve">2 – длина второй от основания листа жилки второго порядка; </w:t>
      </w:r>
    </w:p>
    <w:p w:rsidR="000F0EE1" w:rsidRPr="008438EA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8EA">
        <w:rPr>
          <w:rFonts w:ascii="Times New Roman" w:hAnsi="Times New Roman" w:cs="Times New Roman"/>
          <w:sz w:val="24"/>
          <w:szCs w:val="24"/>
        </w:rPr>
        <w:t xml:space="preserve">3 – расстояние между основаниями первой и второй жилок второго порядка; </w:t>
      </w:r>
    </w:p>
    <w:p w:rsidR="000F0EE1" w:rsidRPr="008438EA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8EA">
        <w:rPr>
          <w:rFonts w:ascii="Times New Roman" w:hAnsi="Times New Roman" w:cs="Times New Roman"/>
          <w:sz w:val="24"/>
          <w:szCs w:val="24"/>
        </w:rPr>
        <w:t xml:space="preserve">4 – расстояние между концами этих жилок; </w:t>
      </w:r>
    </w:p>
    <w:p w:rsidR="000F0EE1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8EA">
        <w:rPr>
          <w:rFonts w:ascii="Times New Roman" w:hAnsi="Times New Roman" w:cs="Times New Roman"/>
          <w:sz w:val="24"/>
          <w:szCs w:val="24"/>
        </w:rPr>
        <w:t>5 – угол между главной жилкой и второй от основания листа жилкой второго порядка</w:t>
      </w:r>
    </w:p>
    <w:p w:rsidR="000F0EE1" w:rsidRPr="008438EA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EE1" w:rsidRDefault="000F0EE1" w:rsidP="000F0E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8EA">
        <w:rPr>
          <w:rFonts w:ascii="Times New Roman" w:hAnsi="Times New Roman" w:cs="Times New Roman"/>
          <w:sz w:val="24"/>
          <w:szCs w:val="24"/>
        </w:rPr>
        <w:t>Для измерений потребуются измерительный циркуль, линейка и транспортир. Промеры 1–4 снимаются циркулем-измерителем, угол между жилками измеряется транспортиром. Результаты измерений</w:t>
      </w:r>
      <w:r>
        <w:rPr>
          <w:rFonts w:ascii="Times New Roman" w:hAnsi="Times New Roman" w:cs="Times New Roman"/>
          <w:sz w:val="24"/>
          <w:szCs w:val="24"/>
        </w:rPr>
        <w:t xml:space="preserve"> заносятся в таблицу 2.</w:t>
      </w:r>
    </w:p>
    <w:p w:rsidR="000F0EE1" w:rsidRPr="00372283" w:rsidRDefault="000F0EE1" w:rsidP="000F0EE1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44EF" w:rsidRDefault="00B744EF" w:rsidP="00B744E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A04D4B">
        <w:rPr>
          <w:rFonts w:ascii="Times New Roman" w:hAnsi="Times New Roman" w:cs="Times New Roman"/>
          <w:sz w:val="24"/>
        </w:rPr>
        <w:t>Величина промеров листа</w:t>
      </w:r>
    </w:p>
    <w:p w:rsidR="000F0EE1" w:rsidRPr="00A04D4B" w:rsidRDefault="000F0EE1" w:rsidP="00B744EF">
      <w:pPr>
        <w:spacing w:after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82"/>
        <w:gridCol w:w="767"/>
        <w:gridCol w:w="902"/>
        <w:gridCol w:w="764"/>
        <w:gridCol w:w="902"/>
        <w:gridCol w:w="950"/>
        <w:gridCol w:w="902"/>
        <w:gridCol w:w="844"/>
        <w:gridCol w:w="902"/>
        <w:gridCol w:w="846"/>
        <w:gridCol w:w="902"/>
      </w:tblGrid>
      <w:tr w:rsidR="00B744EF" w:rsidTr="00D91113">
        <w:trPr>
          <w:trHeight w:val="1095"/>
        </w:trPr>
        <w:tc>
          <w:tcPr>
            <w:tcW w:w="782" w:type="dxa"/>
            <w:vMerge w:val="restart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hAnsi="Times New Roman" w:cs="Times New Roman"/>
                <w:b/>
              </w:rPr>
              <w:t>№ листа</w:t>
            </w:r>
          </w:p>
        </w:tc>
        <w:tc>
          <w:tcPr>
            <w:tcW w:w="1669" w:type="dxa"/>
            <w:gridSpan w:val="2"/>
            <w:vAlign w:val="center"/>
          </w:tcPr>
          <w:p w:rsidR="00B744EF" w:rsidRDefault="00B744EF" w:rsidP="00AC48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Ширина половинок листа,</w:t>
            </w:r>
          </w:p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hAnsi="Times New Roman" w:cs="Times New Roman"/>
                <w:b/>
              </w:rPr>
              <w:t>мм</w:t>
            </w:r>
          </w:p>
        </w:tc>
        <w:tc>
          <w:tcPr>
            <w:tcW w:w="1666" w:type="dxa"/>
            <w:gridSpan w:val="2"/>
            <w:vAlign w:val="center"/>
          </w:tcPr>
          <w:p w:rsidR="00B744EF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Длина второй жилки,</w:t>
            </w:r>
          </w:p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мм</w:t>
            </w:r>
          </w:p>
        </w:tc>
        <w:tc>
          <w:tcPr>
            <w:tcW w:w="1852" w:type="dxa"/>
            <w:gridSpan w:val="2"/>
            <w:vAlign w:val="center"/>
          </w:tcPr>
          <w:p w:rsidR="00B744EF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Расстояние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между основаниями,</w:t>
            </w:r>
          </w:p>
          <w:p w:rsidR="00B744EF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 и 2 жилок,</w:t>
            </w:r>
          </w:p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мм</w:t>
            </w:r>
          </w:p>
        </w:tc>
        <w:tc>
          <w:tcPr>
            <w:tcW w:w="1746" w:type="dxa"/>
            <w:gridSpan w:val="2"/>
            <w:vAlign w:val="center"/>
          </w:tcPr>
          <w:p w:rsidR="00B744EF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Расстояни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е между концами,</w:t>
            </w:r>
          </w:p>
          <w:p w:rsidR="00B744EF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 и 2 жилок,</w:t>
            </w:r>
          </w:p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мм</w:t>
            </w:r>
          </w:p>
        </w:tc>
        <w:tc>
          <w:tcPr>
            <w:tcW w:w="1748" w:type="dxa"/>
            <w:gridSpan w:val="2"/>
            <w:vAlign w:val="center"/>
          </w:tcPr>
          <w:p w:rsidR="00B744EF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Уго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л между центральной и 2 жилкой,</w:t>
            </w:r>
          </w:p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мм</w:t>
            </w:r>
          </w:p>
        </w:tc>
      </w:tr>
      <w:tr w:rsidR="00B744EF" w:rsidTr="00D91113">
        <w:trPr>
          <w:trHeight w:val="165"/>
        </w:trPr>
        <w:tc>
          <w:tcPr>
            <w:tcW w:w="782" w:type="dxa"/>
            <w:vMerge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D4B">
              <w:rPr>
                <w:rFonts w:ascii="Times New Roman" w:hAnsi="Times New Roman" w:cs="Times New Roman"/>
                <w:b/>
              </w:rPr>
              <w:t>слева</w:t>
            </w: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4D4B">
              <w:rPr>
                <w:rFonts w:ascii="Times New Roman" w:hAnsi="Times New Roman" w:cs="Times New Roman"/>
                <w:b/>
              </w:rPr>
              <w:t>справа</w:t>
            </w:r>
          </w:p>
        </w:tc>
        <w:tc>
          <w:tcPr>
            <w:tcW w:w="764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справа</w:t>
            </w:r>
          </w:p>
        </w:tc>
        <w:tc>
          <w:tcPr>
            <w:tcW w:w="950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справа</w:t>
            </w:r>
          </w:p>
        </w:tc>
        <w:tc>
          <w:tcPr>
            <w:tcW w:w="844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справа</w:t>
            </w:r>
          </w:p>
        </w:tc>
        <w:tc>
          <w:tcPr>
            <w:tcW w:w="846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справа</w:t>
            </w:r>
          </w:p>
        </w:tc>
      </w:tr>
      <w:tr w:rsidR="00B744EF" w:rsidTr="00D91113">
        <w:trPr>
          <w:trHeight w:val="284"/>
        </w:trPr>
        <w:tc>
          <w:tcPr>
            <w:tcW w:w="78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1.</w:t>
            </w:r>
          </w:p>
        </w:tc>
        <w:tc>
          <w:tcPr>
            <w:tcW w:w="767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26</w:t>
            </w: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23</w:t>
            </w:r>
          </w:p>
        </w:tc>
        <w:tc>
          <w:tcPr>
            <w:tcW w:w="764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44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46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B744EF" w:rsidTr="00D91113">
        <w:trPr>
          <w:trHeight w:val="284"/>
        </w:trPr>
        <w:tc>
          <w:tcPr>
            <w:tcW w:w="78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2.</w:t>
            </w:r>
          </w:p>
        </w:tc>
        <w:tc>
          <w:tcPr>
            <w:tcW w:w="767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44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46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B744EF" w:rsidTr="00D91113">
        <w:trPr>
          <w:trHeight w:val="284"/>
        </w:trPr>
        <w:tc>
          <w:tcPr>
            <w:tcW w:w="78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3.</w:t>
            </w:r>
          </w:p>
        </w:tc>
        <w:tc>
          <w:tcPr>
            <w:tcW w:w="767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44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46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</w:tbl>
    <w:p w:rsidR="00B744EF" w:rsidRPr="00A04D4B" w:rsidRDefault="00B744EF" w:rsidP="00B744EF">
      <w:pPr>
        <w:spacing w:after="0"/>
        <w:ind w:firstLine="709"/>
        <w:jc w:val="both"/>
        <w:rPr>
          <w:rFonts w:ascii="Times New Roman" w:hAnsi="Times New Roman" w:cs="Times New Roman"/>
          <w:sz w:val="10"/>
        </w:rPr>
      </w:pPr>
    </w:p>
    <w:p w:rsidR="000F0EE1" w:rsidRDefault="00B744EF" w:rsidP="00B744EF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938ED">
        <w:rPr>
          <w:rFonts w:ascii="Times New Roman" w:hAnsi="Times New Roman" w:cs="Times New Roman"/>
          <w:sz w:val="24"/>
        </w:rPr>
        <w:t>Разница между промерами левых и правых половинок листа дели</w:t>
      </w:r>
      <w:r>
        <w:rPr>
          <w:rFonts w:ascii="Times New Roman" w:hAnsi="Times New Roman" w:cs="Times New Roman"/>
          <w:sz w:val="24"/>
        </w:rPr>
        <w:t>т</w:t>
      </w:r>
      <w:r w:rsidRPr="002938ED">
        <w:rPr>
          <w:rFonts w:ascii="Times New Roman" w:hAnsi="Times New Roman" w:cs="Times New Roman"/>
          <w:sz w:val="24"/>
        </w:rPr>
        <w:t>ся на сумму промеров по каждому при</w:t>
      </w:r>
      <w:r>
        <w:rPr>
          <w:rFonts w:ascii="Times New Roman" w:hAnsi="Times New Roman" w:cs="Times New Roman"/>
          <w:sz w:val="24"/>
        </w:rPr>
        <w:t>знаку. Например, 26–23: 49. По</w:t>
      </w:r>
      <w:r w:rsidRPr="002938ED">
        <w:rPr>
          <w:rFonts w:ascii="Times New Roman" w:hAnsi="Times New Roman" w:cs="Times New Roman"/>
          <w:sz w:val="24"/>
        </w:rPr>
        <w:t xml:space="preserve">лученное значение (0,06) внести в соответствующую строку таблицы </w:t>
      </w:r>
      <w:r w:rsidR="000F0EE1">
        <w:rPr>
          <w:rFonts w:ascii="Times New Roman" w:hAnsi="Times New Roman" w:cs="Times New Roman"/>
          <w:sz w:val="24"/>
        </w:rPr>
        <w:t>3.</w:t>
      </w:r>
    </w:p>
    <w:p w:rsidR="00B744EF" w:rsidRPr="00330639" w:rsidRDefault="000F0EE1" w:rsidP="000F0EE1">
      <w:pPr>
        <w:spacing w:after="0"/>
        <w:ind w:firstLine="709"/>
        <w:jc w:val="right"/>
        <w:rPr>
          <w:rFonts w:ascii="Times New Roman" w:eastAsia="Times New Roman" w:hAnsi="Times New Roman" w:cs="Times New Roman"/>
          <w:b/>
          <w:bCs/>
          <w:i/>
          <w:iCs/>
          <w:sz w:val="20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Таблица 3.</w:t>
      </w:r>
    </w:p>
    <w:p w:rsidR="00B744EF" w:rsidRPr="00A04D4B" w:rsidRDefault="00B744EF" w:rsidP="00B744E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04D4B">
        <w:rPr>
          <w:rFonts w:ascii="Times New Roman" w:hAnsi="Times New Roman" w:cs="Times New Roman"/>
          <w:sz w:val="24"/>
        </w:rPr>
        <w:t>Вспомогательная таблица для расчета интегрального показателя</w:t>
      </w:r>
    </w:p>
    <w:p w:rsidR="00B744EF" w:rsidRDefault="00B744EF" w:rsidP="00B744E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04D4B">
        <w:rPr>
          <w:rFonts w:ascii="Times New Roman" w:hAnsi="Times New Roman" w:cs="Times New Roman"/>
          <w:sz w:val="24"/>
        </w:rPr>
        <w:t>флуктуирующей асимметрии в выборке</w:t>
      </w:r>
    </w:p>
    <w:p w:rsidR="000F0EE1" w:rsidRPr="00A04D4B" w:rsidRDefault="000F0EE1" w:rsidP="00B744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tbl>
      <w:tblPr>
        <w:tblStyle w:val="a3"/>
        <w:tblW w:w="97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098"/>
        <w:gridCol w:w="2020"/>
        <w:gridCol w:w="1483"/>
        <w:gridCol w:w="1619"/>
        <w:gridCol w:w="1418"/>
      </w:tblGrid>
      <w:tr w:rsidR="00B744EF" w:rsidRPr="00B5718C" w:rsidTr="00AC483F">
        <w:trPr>
          <w:trHeight w:val="930"/>
        </w:trPr>
        <w:tc>
          <w:tcPr>
            <w:tcW w:w="851" w:type="dxa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hAnsi="Times New Roman" w:cs="Times New Roman"/>
                <w:b/>
              </w:rPr>
              <w:t>№ листа</w:t>
            </w:r>
          </w:p>
        </w:tc>
        <w:tc>
          <w:tcPr>
            <w:tcW w:w="1276" w:type="dxa"/>
          </w:tcPr>
          <w:p w:rsidR="00B744EF" w:rsidRDefault="00B744EF" w:rsidP="00AC48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Ширина половинок листа,</w:t>
            </w:r>
          </w:p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hAnsi="Times New Roman" w:cs="Times New Roman"/>
                <w:b/>
              </w:rPr>
              <w:t>мм</w:t>
            </w:r>
          </w:p>
        </w:tc>
        <w:tc>
          <w:tcPr>
            <w:tcW w:w="1098" w:type="dxa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Длина второй жилки,</w:t>
            </w: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gramStart"/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мм</w:t>
            </w:r>
            <w:proofErr w:type="gramEnd"/>
          </w:p>
        </w:tc>
        <w:tc>
          <w:tcPr>
            <w:tcW w:w="2020" w:type="dxa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Расстояние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между основаниями, 1 и 2 жилок,</w:t>
            </w: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proofErr w:type="gramStart"/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мм</w:t>
            </w:r>
            <w:proofErr w:type="gramEnd"/>
          </w:p>
        </w:tc>
        <w:tc>
          <w:tcPr>
            <w:tcW w:w="1483" w:type="dxa"/>
          </w:tcPr>
          <w:p w:rsidR="00B744EF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Расстояние между концами,</w:t>
            </w:r>
          </w:p>
          <w:p w:rsidR="00B744EF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 и 2 жилок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,</w:t>
            </w:r>
          </w:p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мм</w:t>
            </w:r>
          </w:p>
        </w:tc>
        <w:tc>
          <w:tcPr>
            <w:tcW w:w="1619" w:type="dxa"/>
          </w:tcPr>
          <w:p w:rsidR="00B744EF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Уго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л между центральной и 2 жилкой,</w:t>
            </w:r>
          </w:p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мм</w:t>
            </w:r>
          </w:p>
        </w:tc>
        <w:tc>
          <w:tcPr>
            <w:tcW w:w="1418" w:type="dxa"/>
            <w:shd w:val="clear" w:color="auto" w:fill="auto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Величина асимметрии листа</w:t>
            </w:r>
          </w:p>
        </w:tc>
      </w:tr>
      <w:tr w:rsidR="00B744EF" w:rsidRPr="00B5718C" w:rsidTr="00AC483F">
        <w:trPr>
          <w:trHeight w:val="284"/>
        </w:trPr>
        <w:tc>
          <w:tcPr>
            <w:tcW w:w="851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1.</w:t>
            </w:r>
          </w:p>
        </w:tc>
        <w:tc>
          <w:tcPr>
            <w:tcW w:w="1276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0,06</w:t>
            </w:r>
          </w:p>
        </w:tc>
        <w:tc>
          <w:tcPr>
            <w:tcW w:w="1098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0,08</w:t>
            </w:r>
          </w:p>
        </w:tc>
        <w:tc>
          <w:tcPr>
            <w:tcW w:w="2020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0,1</w:t>
            </w:r>
          </w:p>
        </w:tc>
        <w:tc>
          <w:tcPr>
            <w:tcW w:w="1483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0,1</w:t>
            </w:r>
          </w:p>
        </w:tc>
        <w:tc>
          <w:tcPr>
            <w:tcW w:w="1619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0,074</w:t>
            </w:r>
          </w:p>
        </w:tc>
      </w:tr>
      <w:tr w:rsidR="00B744EF" w:rsidRPr="00B5718C" w:rsidTr="00AC483F">
        <w:trPr>
          <w:trHeight w:val="284"/>
        </w:trPr>
        <w:tc>
          <w:tcPr>
            <w:tcW w:w="851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2.</w:t>
            </w:r>
          </w:p>
        </w:tc>
        <w:tc>
          <w:tcPr>
            <w:tcW w:w="1276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098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20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483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619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B744EF" w:rsidRPr="00B5718C" w:rsidTr="00AC483F">
        <w:trPr>
          <w:trHeight w:val="284"/>
        </w:trPr>
        <w:tc>
          <w:tcPr>
            <w:tcW w:w="851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04D4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3.</w:t>
            </w:r>
          </w:p>
        </w:tc>
        <w:tc>
          <w:tcPr>
            <w:tcW w:w="1276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098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20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483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619" w:type="dxa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744EF" w:rsidRPr="00A04D4B" w:rsidRDefault="00B744EF" w:rsidP="00AC483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</w:tbl>
    <w:p w:rsidR="000F0EE1" w:rsidRDefault="000F0EE1" w:rsidP="00B744EF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B744EF" w:rsidRDefault="00B744EF" w:rsidP="00B744EF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B5718C">
        <w:rPr>
          <w:rFonts w:ascii="Times New Roman" w:hAnsi="Times New Roman" w:cs="Times New Roman"/>
          <w:sz w:val="24"/>
        </w:rPr>
        <w:t>Сумму величин асимметрии по 5 признакам разделить на 5. Получится величина асимметрии листа. Затем сложить значения величины асимметрии листа (по 10 листьям), разделить на 10, получится средняя величина показ</w:t>
      </w:r>
      <w:r>
        <w:rPr>
          <w:rFonts w:ascii="Times New Roman" w:hAnsi="Times New Roman" w:cs="Times New Roman"/>
          <w:sz w:val="24"/>
        </w:rPr>
        <w:t>ателя стабильности развития для данной выборки (</w:t>
      </w:r>
      <w:r w:rsidRPr="00B5718C">
        <w:rPr>
          <w:rFonts w:ascii="Times New Roman" w:hAnsi="Times New Roman" w:cs="Times New Roman"/>
          <w:sz w:val="24"/>
        </w:rPr>
        <w:t>таблиц</w:t>
      </w:r>
      <w:r>
        <w:rPr>
          <w:rFonts w:ascii="Times New Roman" w:hAnsi="Times New Roman" w:cs="Times New Roman"/>
          <w:sz w:val="24"/>
        </w:rPr>
        <w:t>а</w:t>
      </w:r>
      <w:r w:rsidRPr="00B5718C">
        <w:rPr>
          <w:rFonts w:ascii="Times New Roman" w:hAnsi="Times New Roman" w:cs="Times New Roman"/>
          <w:sz w:val="24"/>
        </w:rPr>
        <w:t xml:space="preserve"> </w:t>
      </w:r>
      <w:r w:rsidR="000F0EE1">
        <w:rPr>
          <w:rFonts w:ascii="Times New Roman" w:hAnsi="Times New Roman" w:cs="Times New Roman"/>
          <w:sz w:val="24"/>
        </w:rPr>
        <w:t>4</w:t>
      </w:r>
      <w:r w:rsidRPr="00B5718C">
        <w:rPr>
          <w:rFonts w:ascii="Times New Roman" w:hAnsi="Times New Roman" w:cs="Times New Roman"/>
          <w:sz w:val="24"/>
        </w:rPr>
        <w:t>).</w:t>
      </w:r>
    </w:p>
    <w:p w:rsidR="000F0EE1" w:rsidRPr="00330639" w:rsidRDefault="000F0EE1" w:rsidP="000F0EE1">
      <w:pPr>
        <w:spacing w:after="0"/>
        <w:ind w:firstLine="709"/>
        <w:jc w:val="righ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Таблица 4.</w:t>
      </w:r>
    </w:p>
    <w:p w:rsidR="00B744EF" w:rsidRDefault="00B744EF" w:rsidP="00B744E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A04D4B">
        <w:rPr>
          <w:rFonts w:ascii="Times New Roman" w:hAnsi="Times New Roman" w:cs="Times New Roman"/>
          <w:sz w:val="24"/>
        </w:rPr>
        <w:t xml:space="preserve">Определение </w:t>
      </w:r>
      <w:r>
        <w:rPr>
          <w:rFonts w:ascii="Times New Roman" w:hAnsi="Times New Roman" w:cs="Times New Roman"/>
          <w:sz w:val="24"/>
        </w:rPr>
        <w:t>уровня атмосферного загрязнения</w:t>
      </w:r>
    </w:p>
    <w:p w:rsidR="00B744EF" w:rsidRDefault="00B744EF" w:rsidP="00B744E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A04D4B">
        <w:rPr>
          <w:rFonts w:ascii="Times New Roman" w:hAnsi="Times New Roman" w:cs="Times New Roman"/>
          <w:sz w:val="24"/>
        </w:rPr>
        <w:t>по величине показателя стабильности развития для березы повислой (betula pendula)</w:t>
      </w:r>
    </w:p>
    <w:p w:rsidR="000F0EE1" w:rsidRPr="00A04D4B" w:rsidRDefault="000F0EE1" w:rsidP="00B744EF">
      <w:pPr>
        <w:spacing w:after="0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9855" w:type="dxa"/>
        <w:tblLook w:val="04A0" w:firstRow="1" w:lastRow="0" w:firstColumn="1" w:lastColumn="0" w:noHBand="0" w:noVBand="1"/>
      </w:tblPr>
      <w:tblGrid>
        <w:gridCol w:w="817"/>
        <w:gridCol w:w="5387"/>
        <w:gridCol w:w="3651"/>
      </w:tblGrid>
      <w:tr w:rsidR="00B744EF" w:rsidTr="00AC483F">
        <w:trPr>
          <w:trHeight w:val="340"/>
        </w:trPr>
        <w:tc>
          <w:tcPr>
            <w:tcW w:w="817" w:type="dxa"/>
          </w:tcPr>
          <w:p w:rsidR="00B744EF" w:rsidRPr="00A04D4B" w:rsidRDefault="00B744EF" w:rsidP="00AC4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A04D4B">
              <w:rPr>
                <w:rFonts w:ascii="Times New Roman" w:hAnsi="Times New Roman" w:cs="Times New Roman"/>
                <w:b/>
                <w:sz w:val="24"/>
                <w:szCs w:val="24"/>
              </w:rPr>
              <w:t>алл</w:t>
            </w:r>
          </w:p>
        </w:tc>
        <w:tc>
          <w:tcPr>
            <w:tcW w:w="5387" w:type="dxa"/>
          </w:tcPr>
          <w:p w:rsidR="00B744EF" w:rsidRPr="00A04D4B" w:rsidRDefault="00B744EF" w:rsidP="00AC4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D4B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показателя стабильности развития</w:t>
            </w:r>
          </w:p>
        </w:tc>
        <w:tc>
          <w:tcPr>
            <w:tcW w:w="3651" w:type="dxa"/>
          </w:tcPr>
          <w:p w:rsidR="00B744EF" w:rsidRPr="00A04D4B" w:rsidRDefault="00B744EF" w:rsidP="00AC4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D4B">
              <w:rPr>
                <w:rFonts w:ascii="Times New Roman" w:hAnsi="Times New Roman" w:cs="Times New Roman"/>
                <w:b/>
                <w:sz w:val="24"/>
                <w:szCs w:val="24"/>
              </w:rPr>
              <w:t>Шкала</w:t>
            </w:r>
          </w:p>
        </w:tc>
      </w:tr>
      <w:tr w:rsidR="00B744EF" w:rsidTr="00AC483F">
        <w:trPr>
          <w:trHeight w:val="340"/>
        </w:trPr>
        <w:tc>
          <w:tcPr>
            <w:tcW w:w="81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&lt;0,040</w:t>
            </w:r>
          </w:p>
        </w:tc>
        <w:tc>
          <w:tcPr>
            <w:tcW w:w="3651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Условная норма</w:t>
            </w:r>
          </w:p>
        </w:tc>
      </w:tr>
      <w:tr w:rsidR="00B744EF" w:rsidTr="00AC483F">
        <w:trPr>
          <w:trHeight w:val="340"/>
        </w:trPr>
        <w:tc>
          <w:tcPr>
            <w:tcW w:w="81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0,040 - 0,044</w:t>
            </w:r>
          </w:p>
        </w:tc>
        <w:tc>
          <w:tcPr>
            <w:tcW w:w="3651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Слабо загрязненные районы</w:t>
            </w:r>
          </w:p>
        </w:tc>
      </w:tr>
      <w:tr w:rsidR="00B744EF" w:rsidTr="00AC483F">
        <w:trPr>
          <w:trHeight w:val="340"/>
        </w:trPr>
        <w:tc>
          <w:tcPr>
            <w:tcW w:w="81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0,044 - 0,049</w:t>
            </w:r>
          </w:p>
        </w:tc>
        <w:tc>
          <w:tcPr>
            <w:tcW w:w="3651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Загрязненные районы</w:t>
            </w:r>
          </w:p>
        </w:tc>
      </w:tr>
      <w:tr w:rsidR="00B744EF" w:rsidTr="00AC483F">
        <w:trPr>
          <w:trHeight w:val="340"/>
        </w:trPr>
        <w:tc>
          <w:tcPr>
            <w:tcW w:w="81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0,050 – 0,054</w:t>
            </w:r>
          </w:p>
        </w:tc>
        <w:tc>
          <w:tcPr>
            <w:tcW w:w="3651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Сильно загрязненные районы</w:t>
            </w:r>
          </w:p>
        </w:tc>
      </w:tr>
      <w:tr w:rsidR="00B744EF" w:rsidTr="00AC483F">
        <w:trPr>
          <w:trHeight w:val="340"/>
        </w:trPr>
        <w:tc>
          <w:tcPr>
            <w:tcW w:w="81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&gt;0,054</w:t>
            </w:r>
          </w:p>
        </w:tc>
        <w:tc>
          <w:tcPr>
            <w:tcW w:w="3651" w:type="dxa"/>
          </w:tcPr>
          <w:p w:rsidR="00B744EF" w:rsidRPr="00DB0929" w:rsidRDefault="00B744EF" w:rsidP="000A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929">
              <w:rPr>
                <w:rFonts w:ascii="Times New Roman" w:hAnsi="Times New Roman" w:cs="Times New Roman"/>
                <w:sz w:val="24"/>
                <w:szCs w:val="24"/>
              </w:rPr>
              <w:t>Критическое значение</w:t>
            </w:r>
          </w:p>
        </w:tc>
      </w:tr>
    </w:tbl>
    <w:p w:rsidR="00B744EF" w:rsidRPr="00A04D4B" w:rsidRDefault="00B744EF" w:rsidP="000A6113">
      <w:pPr>
        <w:spacing w:after="0"/>
        <w:ind w:firstLine="709"/>
        <w:rPr>
          <w:rFonts w:ascii="Times New Roman" w:hAnsi="Times New Roman" w:cs="Times New Roman"/>
          <w:sz w:val="10"/>
          <w:szCs w:val="24"/>
        </w:rPr>
      </w:pPr>
    </w:p>
    <w:p w:rsidR="00B744EF" w:rsidRPr="00A04D4B" w:rsidRDefault="00B744EF" w:rsidP="00B744E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4D4B">
        <w:rPr>
          <w:rFonts w:ascii="Times New Roman" w:hAnsi="Times New Roman" w:cs="Times New Roman"/>
          <w:sz w:val="24"/>
          <w:szCs w:val="24"/>
        </w:rPr>
        <w:lastRenderedPageBreak/>
        <w:t xml:space="preserve">Для оценки степени нарушения стабильности развития удобно использовать пятибалльную оценку. </w:t>
      </w:r>
      <w:r w:rsidR="00D55ED2">
        <w:rPr>
          <w:rFonts w:ascii="Times New Roman" w:hAnsi="Times New Roman" w:cs="Times New Roman"/>
          <w:sz w:val="24"/>
          <w:szCs w:val="24"/>
        </w:rPr>
        <w:t xml:space="preserve">Эта </w:t>
      </w:r>
      <w:r w:rsidRPr="00A04D4B">
        <w:rPr>
          <w:rFonts w:ascii="Times New Roman" w:hAnsi="Times New Roman" w:cs="Times New Roman"/>
          <w:sz w:val="24"/>
          <w:szCs w:val="24"/>
        </w:rPr>
        <w:t xml:space="preserve">шкала предложена </w:t>
      </w:r>
      <w:r w:rsidR="00D55ED2">
        <w:rPr>
          <w:rFonts w:ascii="Times New Roman" w:hAnsi="Times New Roman" w:cs="Times New Roman"/>
          <w:sz w:val="24"/>
          <w:szCs w:val="24"/>
        </w:rPr>
        <w:t>конкретно</w:t>
      </w:r>
      <w:r w:rsidRPr="00A04D4B">
        <w:rPr>
          <w:rFonts w:ascii="Times New Roman" w:hAnsi="Times New Roman" w:cs="Times New Roman"/>
          <w:sz w:val="24"/>
          <w:szCs w:val="24"/>
        </w:rPr>
        <w:t xml:space="preserve"> для березы</w:t>
      </w:r>
      <w:r w:rsidR="000F0EE1">
        <w:rPr>
          <w:rFonts w:ascii="Times New Roman" w:hAnsi="Times New Roman" w:cs="Times New Roman"/>
          <w:sz w:val="24"/>
          <w:szCs w:val="24"/>
        </w:rPr>
        <w:t xml:space="preserve"> повислой</w:t>
      </w:r>
      <w:r w:rsidRPr="00A04D4B">
        <w:rPr>
          <w:rFonts w:ascii="Times New Roman" w:hAnsi="Times New Roman" w:cs="Times New Roman"/>
          <w:sz w:val="24"/>
          <w:szCs w:val="24"/>
        </w:rPr>
        <w:t>, поскольку для этого объекта собран достаточно обширный материал. Первый балл шкалы – условная норма. Значения интегрального показателя асимметрии</w:t>
      </w:r>
      <w:r w:rsidR="00D55ED2">
        <w:rPr>
          <w:rFonts w:ascii="Times New Roman" w:hAnsi="Times New Roman" w:cs="Times New Roman"/>
          <w:sz w:val="24"/>
          <w:szCs w:val="24"/>
        </w:rPr>
        <w:t>,</w:t>
      </w:r>
      <w:r w:rsidRPr="00A04D4B">
        <w:rPr>
          <w:rFonts w:ascii="Times New Roman" w:hAnsi="Times New Roman" w:cs="Times New Roman"/>
          <w:sz w:val="24"/>
          <w:szCs w:val="24"/>
        </w:rPr>
        <w:t xml:space="preserve"> соответствующие первому баллу, наблюдаются обычно в выборках растений из благоприятных условий произрастания, например, из природных заповедников. Пятый балл – критическое значение, такие значения показателя асимметрии наблюдаются в крайне неблагоприятных условиях, когда растения находятся в сильно угнетенном состоянии. Если величина асимметрии листьев достигает критического значения, то следует предполагать высокую степень загрязнения окружающей среды промышленными и транспортными выбросам.</w:t>
      </w:r>
      <w:r w:rsidR="00D55ED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744EF" w:rsidRPr="00A04D4B" w:rsidSect="000F0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13188"/>
    <w:multiLevelType w:val="hybridMultilevel"/>
    <w:tmpl w:val="ACB4287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8FA5DC9"/>
    <w:multiLevelType w:val="hybridMultilevel"/>
    <w:tmpl w:val="91307F9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EF"/>
    <w:rsid w:val="000A6113"/>
    <w:rsid w:val="000B69BA"/>
    <w:rsid w:val="000F0EE1"/>
    <w:rsid w:val="0059160E"/>
    <w:rsid w:val="00B744EF"/>
    <w:rsid w:val="00D55ED2"/>
    <w:rsid w:val="00D91113"/>
    <w:rsid w:val="00F8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44E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744E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4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4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44E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744E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4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4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Чепурко</dc:creator>
  <cp:keywords/>
  <dc:description/>
  <cp:lastModifiedBy>Наталья Алексюк</cp:lastModifiedBy>
  <cp:revision>6</cp:revision>
  <dcterms:created xsi:type="dcterms:W3CDTF">2018-03-26T06:05:00Z</dcterms:created>
  <dcterms:modified xsi:type="dcterms:W3CDTF">2018-04-16T07:54:00Z</dcterms:modified>
</cp:coreProperties>
</file>