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45C" w:rsidRPr="006A445C" w:rsidRDefault="006A445C" w:rsidP="006A445C">
      <w:pPr>
        <w:ind w:firstLine="0"/>
        <w:jc w:val="center"/>
        <w:rPr>
          <w:b/>
          <w:caps/>
        </w:rPr>
      </w:pPr>
      <w:r w:rsidRPr="006A445C">
        <w:rPr>
          <w:b/>
          <w:caps/>
        </w:rPr>
        <w:t>Индикация состояния окружающей среды</w:t>
      </w:r>
    </w:p>
    <w:p w:rsidR="000820CD" w:rsidRPr="006A445C" w:rsidRDefault="006A445C" w:rsidP="006A445C">
      <w:pPr>
        <w:ind w:firstLine="0"/>
        <w:jc w:val="center"/>
        <w:rPr>
          <w:b/>
          <w:caps/>
        </w:rPr>
      </w:pPr>
      <w:r w:rsidRPr="006A445C">
        <w:rPr>
          <w:b/>
          <w:caps/>
        </w:rPr>
        <w:t xml:space="preserve">по частотам встречаемости фенов </w:t>
      </w:r>
      <w:r w:rsidRPr="006A445C">
        <w:rPr>
          <w:b/>
          <w:i/>
          <w:caps/>
          <w:lang w:val="en-US"/>
        </w:rPr>
        <w:t>Amoria</w:t>
      </w:r>
      <w:r w:rsidRPr="006A445C">
        <w:rPr>
          <w:b/>
          <w:i/>
          <w:caps/>
        </w:rPr>
        <w:t xml:space="preserve"> </w:t>
      </w:r>
      <w:r w:rsidRPr="006A445C">
        <w:rPr>
          <w:b/>
          <w:i/>
          <w:caps/>
          <w:lang w:val="en-US"/>
        </w:rPr>
        <w:t>repens</w:t>
      </w:r>
      <w:r w:rsidRPr="006A445C">
        <w:rPr>
          <w:b/>
          <w:caps/>
        </w:rPr>
        <w:t xml:space="preserve"> (</w:t>
      </w:r>
      <w:r w:rsidRPr="006A445C">
        <w:rPr>
          <w:b/>
          <w:caps/>
          <w:lang w:val="en-US"/>
        </w:rPr>
        <w:t>L</w:t>
      </w:r>
      <w:r w:rsidRPr="006A445C">
        <w:rPr>
          <w:b/>
          <w:caps/>
        </w:rPr>
        <w:t xml:space="preserve">.) </w:t>
      </w:r>
      <w:r w:rsidRPr="006A445C">
        <w:rPr>
          <w:b/>
          <w:caps/>
          <w:lang w:val="en-US"/>
        </w:rPr>
        <w:t>S</w:t>
      </w:r>
      <w:r w:rsidRPr="006A445C">
        <w:rPr>
          <w:b/>
          <w:caps/>
        </w:rPr>
        <w:t xml:space="preserve">. </w:t>
      </w:r>
      <w:r w:rsidRPr="006A445C">
        <w:rPr>
          <w:b/>
          <w:caps/>
          <w:lang w:val="en-US"/>
        </w:rPr>
        <w:t>Presl</w:t>
      </w:r>
    </w:p>
    <w:p w:rsidR="00C105DF" w:rsidRDefault="00AC3F20" w:rsidP="00802970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5890000" cy="445260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000" cy="445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2970">
        <w:rPr>
          <w:noProof/>
          <w:lang w:eastAsia="ru-RU"/>
        </w:rPr>
        <w:drawing>
          <wp:inline distT="0" distB="0" distL="0" distR="0">
            <wp:extent cx="5819159" cy="3790952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59" cy="3790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70" w:rsidRPr="00754B8B" w:rsidRDefault="00802970" w:rsidP="00754B8B">
      <w:pPr>
        <w:spacing w:line="240" w:lineRule="auto"/>
        <w:ind w:firstLine="0"/>
        <w:jc w:val="center"/>
        <w:rPr>
          <w:sz w:val="22"/>
        </w:rPr>
      </w:pPr>
      <w:r w:rsidRPr="00754B8B">
        <w:rPr>
          <w:i/>
          <w:sz w:val="22"/>
        </w:rPr>
        <w:t>Рис. 1.</w:t>
      </w:r>
      <w:r w:rsidR="00754B8B">
        <w:rPr>
          <w:sz w:val="22"/>
        </w:rPr>
        <w:t xml:space="preserve"> Гом</w:t>
      </w:r>
      <w:proofErr w:type="gramStart"/>
      <w:r w:rsidR="00754B8B">
        <w:rPr>
          <w:sz w:val="22"/>
        </w:rPr>
        <w:t>о-</w:t>
      </w:r>
      <w:proofErr w:type="gramEnd"/>
      <w:r w:rsidR="00754B8B">
        <w:rPr>
          <w:sz w:val="22"/>
        </w:rPr>
        <w:t xml:space="preserve"> </w:t>
      </w:r>
      <w:r w:rsidRPr="00754B8B">
        <w:rPr>
          <w:sz w:val="22"/>
        </w:rPr>
        <w:t xml:space="preserve">и </w:t>
      </w:r>
      <w:proofErr w:type="spellStart"/>
      <w:r w:rsidRPr="00754B8B">
        <w:rPr>
          <w:sz w:val="22"/>
        </w:rPr>
        <w:t>гетерозиготы</w:t>
      </w:r>
      <w:proofErr w:type="spellEnd"/>
      <w:r w:rsidRPr="00754B8B">
        <w:rPr>
          <w:sz w:val="22"/>
        </w:rPr>
        <w:t xml:space="preserve"> по аллеям гена </w:t>
      </w:r>
      <w:r w:rsidRPr="00754B8B">
        <w:rPr>
          <w:sz w:val="22"/>
          <w:lang w:val="en-US"/>
        </w:rPr>
        <w:t>V</w:t>
      </w:r>
      <w:r w:rsidRPr="00754B8B">
        <w:rPr>
          <w:sz w:val="22"/>
        </w:rPr>
        <w:t xml:space="preserve">, определяющего седой рисунок на листьях </w:t>
      </w:r>
      <w:proofErr w:type="spellStart"/>
      <w:r w:rsidRPr="00754B8B">
        <w:rPr>
          <w:i/>
          <w:sz w:val="22"/>
          <w:lang w:val="en-US"/>
        </w:rPr>
        <w:t>Amoria</w:t>
      </w:r>
      <w:proofErr w:type="spellEnd"/>
      <w:r w:rsidRPr="00754B8B">
        <w:rPr>
          <w:i/>
          <w:sz w:val="22"/>
        </w:rPr>
        <w:t xml:space="preserve"> </w:t>
      </w:r>
      <w:proofErr w:type="spellStart"/>
      <w:r w:rsidRPr="00754B8B">
        <w:rPr>
          <w:i/>
          <w:sz w:val="22"/>
          <w:lang w:val="en-US"/>
        </w:rPr>
        <w:t>r</w:t>
      </w:r>
      <w:r w:rsidRPr="00754B8B">
        <w:rPr>
          <w:i/>
          <w:sz w:val="22"/>
          <w:lang w:val="en-US"/>
        </w:rPr>
        <w:t>e</w:t>
      </w:r>
      <w:r w:rsidRPr="00754B8B">
        <w:rPr>
          <w:i/>
          <w:sz w:val="22"/>
          <w:lang w:val="en-US"/>
        </w:rPr>
        <w:t>pens</w:t>
      </w:r>
      <w:proofErr w:type="spellEnd"/>
      <w:r w:rsidRPr="00754B8B">
        <w:rPr>
          <w:sz w:val="22"/>
        </w:rPr>
        <w:t xml:space="preserve"> (по: </w:t>
      </w:r>
      <w:proofErr w:type="spellStart"/>
      <w:proofErr w:type="gramStart"/>
      <w:r w:rsidRPr="00754B8B">
        <w:rPr>
          <w:sz w:val="22"/>
          <w:lang w:val="en-US"/>
        </w:rPr>
        <w:t>Brewbaker</w:t>
      </w:r>
      <w:proofErr w:type="spellEnd"/>
      <w:r w:rsidRPr="00754B8B">
        <w:rPr>
          <w:sz w:val="22"/>
        </w:rPr>
        <w:t>, 1953).</w:t>
      </w:r>
      <w:proofErr w:type="gramEnd"/>
    </w:p>
    <w:p w:rsidR="00647919" w:rsidRPr="00372283" w:rsidRDefault="00647919" w:rsidP="00647919">
      <w:pPr>
        <w:rPr>
          <w:rFonts w:cs="Times New Roman"/>
          <w:szCs w:val="24"/>
        </w:rPr>
      </w:pPr>
      <w:r w:rsidRPr="00372283">
        <w:rPr>
          <w:rFonts w:cs="Times New Roman"/>
          <w:szCs w:val="24"/>
        </w:rPr>
        <w:lastRenderedPageBreak/>
        <w:t>В основе метода лежит предположение, что антропогенная нагрузка вызывает увел</w:t>
      </w:r>
      <w:r w:rsidRPr="00372283">
        <w:rPr>
          <w:rFonts w:cs="Times New Roman"/>
          <w:szCs w:val="24"/>
        </w:rPr>
        <w:t>и</w:t>
      </w:r>
      <w:r w:rsidRPr="00372283">
        <w:rPr>
          <w:rFonts w:cs="Times New Roman"/>
          <w:szCs w:val="24"/>
        </w:rPr>
        <w:t>чение частот встречаемости специфических фенотипов в популяциях растений и животных. В методике в качестве фенотипического биоиндикатора используется форма седого рисунка на листьях клевера белого. Уровень антропогенной нагрузки определяется по частоте встр</w:t>
      </w:r>
      <w:r w:rsidRPr="00372283">
        <w:rPr>
          <w:rFonts w:cs="Times New Roman"/>
          <w:szCs w:val="24"/>
        </w:rPr>
        <w:t>е</w:t>
      </w:r>
      <w:r w:rsidRPr="00372283">
        <w:rPr>
          <w:rFonts w:cs="Times New Roman"/>
          <w:szCs w:val="24"/>
        </w:rPr>
        <w:t>чаемости разных фенов (разных видов рисунка) в популяции данного вида. Растения с лист</w:t>
      </w:r>
      <w:r w:rsidRPr="00372283">
        <w:rPr>
          <w:rFonts w:cs="Times New Roman"/>
          <w:szCs w:val="24"/>
        </w:rPr>
        <w:t>ь</w:t>
      </w:r>
      <w:r w:rsidRPr="00372283">
        <w:rPr>
          <w:rFonts w:cs="Times New Roman"/>
          <w:szCs w:val="24"/>
        </w:rPr>
        <w:t>ями без рисунков несут рецессивный ген, считаются показателем нормы и чистоты исслед</w:t>
      </w:r>
      <w:r w:rsidRPr="00372283">
        <w:rPr>
          <w:rFonts w:cs="Times New Roman"/>
          <w:szCs w:val="24"/>
        </w:rPr>
        <w:t>у</w:t>
      </w:r>
      <w:r w:rsidRPr="00372283">
        <w:rPr>
          <w:rFonts w:cs="Times New Roman"/>
          <w:szCs w:val="24"/>
        </w:rPr>
        <w:t>емой площадки.  При загрязнении среды появляются особи с рисунками на листьях, т.к. пр</w:t>
      </w:r>
      <w:r w:rsidRPr="00372283">
        <w:rPr>
          <w:rFonts w:cs="Times New Roman"/>
          <w:szCs w:val="24"/>
        </w:rPr>
        <w:t>о</w:t>
      </w:r>
      <w:r w:rsidRPr="00372283">
        <w:rPr>
          <w:rFonts w:cs="Times New Roman"/>
          <w:szCs w:val="24"/>
        </w:rPr>
        <w:t xml:space="preserve">являются доминантные мутантные аллели. </w:t>
      </w:r>
    </w:p>
    <w:p w:rsidR="00647919" w:rsidRPr="00372283" w:rsidRDefault="00647919" w:rsidP="00647919">
      <w:pPr>
        <w:rPr>
          <w:rFonts w:cs="Times New Roman"/>
          <w:szCs w:val="24"/>
        </w:rPr>
      </w:pPr>
      <w:r w:rsidRPr="00372283">
        <w:rPr>
          <w:rFonts w:cs="Times New Roman"/>
          <w:szCs w:val="24"/>
        </w:rPr>
        <w:t>В природной популяции задаётся направление движение (</w:t>
      </w:r>
      <w:proofErr w:type="spellStart"/>
      <w:r w:rsidRPr="00372283">
        <w:rPr>
          <w:rFonts w:cs="Times New Roman"/>
          <w:szCs w:val="24"/>
        </w:rPr>
        <w:t>трансекта</w:t>
      </w:r>
      <w:proofErr w:type="spellEnd"/>
      <w:r w:rsidRPr="00372283">
        <w:rPr>
          <w:rFonts w:cs="Times New Roman"/>
          <w:szCs w:val="24"/>
        </w:rPr>
        <w:t>), вдоль которого через равные промежутки (ориентировочно через три шага, то есть примерно через 1,5 метра – среднюю длину ползучего стебля растения) производится сбор листьев. При сборе следует срывать лист, не смотря на него, чтобы избежать произвольного выбора листа с тем или иным рисунком или без него. Всего следует собрать с одной популяции 100–200 листьев, один человек должен разложить их по группам в соответствии с рисунком, который он на них видит, чтобы избежать субъективности восприятия рисунка разными людьми. Для ка</w:t>
      </w:r>
      <w:r w:rsidRPr="00372283">
        <w:rPr>
          <w:rFonts w:cs="Times New Roman"/>
          <w:szCs w:val="24"/>
        </w:rPr>
        <w:t>ж</w:t>
      </w:r>
      <w:r w:rsidRPr="00372283">
        <w:rPr>
          <w:rFonts w:cs="Times New Roman"/>
          <w:szCs w:val="24"/>
        </w:rPr>
        <w:t xml:space="preserve">дой обследованной популяции следует рассчитать частоты встречаемости отдельных фенов </w:t>
      </w:r>
      <w:r>
        <w:rPr>
          <w:i/>
          <w:lang w:val="en-US"/>
        </w:rPr>
        <w:t>P</w:t>
      </w:r>
      <w:r>
        <w:rPr>
          <w:i/>
          <w:vertAlign w:val="subscript"/>
          <w:lang w:val="en-US"/>
        </w:rPr>
        <w:t>i</w:t>
      </w:r>
      <w:r>
        <w:t xml:space="preserve"> </w:t>
      </w:r>
      <w:r>
        <w:t xml:space="preserve"> </w:t>
      </w:r>
      <w:r w:rsidRPr="00372283">
        <w:rPr>
          <w:rFonts w:cs="Times New Roman"/>
          <w:szCs w:val="24"/>
        </w:rPr>
        <w:t>(это отношение числа листьев с данным рисунком к общему числу листьев), и индекс с</w:t>
      </w:r>
      <w:r w:rsidRPr="00372283">
        <w:rPr>
          <w:rFonts w:cs="Times New Roman"/>
          <w:szCs w:val="24"/>
        </w:rPr>
        <w:t>о</w:t>
      </w:r>
      <w:r w:rsidRPr="00372283">
        <w:rPr>
          <w:rFonts w:cs="Times New Roman"/>
          <w:szCs w:val="24"/>
        </w:rPr>
        <w:t>отношения фенов ИСФ (отношение числа всех листьев с рисунками к общему числу лист</w:t>
      </w:r>
      <w:r w:rsidRPr="00372283">
        <w:rPr>
          <w:rFonts w:cs="Times New Roman"/>
          <w:szCs w:val="24"/>
        </w:rPr>
        <w:t>ь</w:t>
      </w:r>
      <w:r w:rsidRPr="00372283">
        <w:rPr>
          <w:rFonts w:cs="Times New Roman"/>
          <w:szCs w:val="24"/>
        </w:rPr>
        <w:t xml:space="preserve">ев), выраженные в процентах. </w:t>
      </w:r>
    </w:p>
    <w:p w:rsidR="00996A46" w:rsidRPr="00754B8B" w:rsidRDefault="00996A46" w:rsidP="00996A46">
      <w:pPr>
        <w:ind w:firstLine="0"/>
        <w:jc w:val="center"/>
        <w:rPr>
          <w:b/>
          <w:sz w:val="22"/>
        </w:rPr>
      </w:pPr>
      <w:r w:rsidRPr="00754B8B">
        <w:rPr>
          <w:b/>
          <w:sz w:val="22"/>
        </w:rPr>
        <w:t>Результаты фенотипической диагностики для популяции №___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275"/>
        <w:gridCol w:w="4146"/>
        <w:gridCol w:w="1915"/>
      </w:tblGrid>
      <w:tr w:rsidR="00996A46" w:rsidRPr="00754B8B" w:rsidTr="00A83906">
        <w:trPr>
          <w:jc w:val="center"/>
        </w:trPr>
        <w:tc>
          <w:tcPr>
            <w:tcW w:w="817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№ фена</w:t>
            </w:r>
          </w:p>
        </w:tc>
        <w:tc>
          <w:tcPr>
            <w:tcW w:w="1418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Обозначение фена</w:t>
            </w:r>
          </w:p>
        </w:tc>
        <w:tc>
          <w:tcPr>
            <w:tcW w:w="127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Символ генотипа</w:t>
            </w:r>
          </w:p>
        </w:tc>
        <w:tc>
          <w:tcPr>
            <w:tcW w:w="4146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Число условных особей</w:t>
            </w:r>
          </w:p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с данным феном</w:t>
            </w:r>
          </w:p>
        </w:tc>
        <w:tc>
          <w:tcPr>
            <w:tcW w:w="191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4B8B">
              <w:rPr>
                <w:b/>
                <w:sz w:val="20"/>
              </w:rPr>
              <w:t>Процент встреч</w:t>
            </w:r>
            <w:r w:rsidRPr="00754B8B">
              <w:rPr>
                <w:b/>
                <w:sz w:val="20"/>
              </w:rPr>
              <w:t>а</w:t>
            </w:r>
            <w:r w:rsidRPr="00754B8B">
              <w:rPr>
                <w:b/>
                <w:sz w:val="20"/>
              </w:rPr>
              <w:t>емости фена</w:t>
            </w:r>
          </w:p>
        </w:tc>
      </w:tr>
      <w:tr w:rsidR="00996A46" w:rsidRPr="00754B8B" w:rsidTr="00A83906">
        <w:trPr>
          <w:jc w:val="center"/>
        </w:trPr>
        <w:tc>
          <w:tcPr>
            <w:tcW w:w="817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146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1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996A46" w:rsidRPr="00754B8B" w:rsidTr="00A83906">
        <w:trPr>
          <w:jc w:val="center"/>
        </w:trPr>
        <w:tc>
          <w:tcPr>
            <w:tcW w:w="817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146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1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996A46" w:rsidRPr="00754B8B" w:rsidTr="00A83906">
        <w:trPr>
          <w:jc w:val="center"/>
        </w:trPr>
        <w:tc>
          <w:tcPr>
            <w:tcW w:w="817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146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15" w:type="dxa"/>
          </w:tcPr>
          <w:p w:rsidR="00996A46" w:rsidRPr="00754B8B" w:rsidRDefault="00996A46" w:rsidP="00A83906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996A46" w:rsidRDefault="00996A46" w:rsidP="00802970"/>
    <w:p w:rsidR="00802970" w:rsidRPr="00754B8B" w:rsidRDefault="00802970" w:rsidP="00802970">
      <w:pPr>
        <w:ind w:firstLine="0"/>
        <w:jc w:val="center"/>
      </w:pPr>
      <w:bookmarkStart w:id="0" w:name="_GoBack"/>
      <w:bookmarkEnd w:id="0"/>
      <w:r w:rsidRPr="00754B8B">
        <w:rPr>
          <w:i/>
          <w:lang w:val="en-US"/>
        </w:rPr>
        <w:t>P</w:t>
      </w:r>
      <w:r w:rsidRPr="00754B8B">
        <w:rPr>
          <w:i/>
          <w:vertAlign w:val="subscript"/>
          <w:lang w:val="en-US"/>
        </w:rPr>
        <w:t>i</w:t>
      </w:r>
      <w:r w:rsidRPr="00802970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  <m:r>
          <w:rPr>
            <w:rFonts w:ascii="Cambria Math" w:hAnsi="Cambria Math"/>
          </w:rPr>
          <m:t>×100%</m:t>
        </m:r>
      </m:oMath>
      <w:r w:rsidR="00754B8B">
        <w:t>, где</w:t>
      </w:r>
    </w:p>
    <w:p w:rsidR="00754B8B" w:rsidRPr="00754B8B" w:rsidRDefault="00754B8B" w:rsidP="00754B8B">
      <w:pPr>
        <w:spacing w:line="240" w:lineRule="auto"/>
        <w:rPr>
          <w:sz w:val="22"/>
        </w:rPr>
      </w:pPr>
      <w:r w:rsidRPr="00754B8B">
        <w:rPr>
          <w:i/>
          <w:sz w:val="22"/>
          <w:lang w:val="en-US"/>
        </w:rPr>
        <w:t>P</w:t>
      </w:r>
      <w:r w:rsidRPr="00754B8B">
        <w:rPr>
          <w:i/>
          <w:sz w:val="22"/>
          <w:vertAlign w:val="subscript"/>
          <w:lang w:val="en-US"/>
        </w:rPr>
        <w:t>i</w:t>
      </w:r>
      <w:r w:rsidRPr="00754B8B">
        <w:rPr>
          <w:sz w:val="22"/>
        </w:rPr>
        <w:t xml:space="preserve"> – частота </w:t>
      </w:r>
      <w:r w:rsidRPr="00754B8B">
        <w:rPr>
          <w:i/>
          <w:sz w:val="22"/>
          <w:lang w:val="en-US"/>
        </w:rPr>
        <w:t>i</w:t>
      </w:r>
      <w:r w:rsidRPr="00754B8B">
        <w:rPr>
          <w:sz w:val="22"/>
        </w:rPr>
        <w:t>-го фена;</w:t>
      </w:r>
    </w:p>
    <w:p w:rsidR="00754B8B" w:rsidRPr="00754B8B" w:rsidRDefault="00754B8B" w:rsidP="00754B8B">
      <w:pPr>
        <w:spacing w:line="240" w:lineRule="auto"/>
        <w:rPr>
          <w:sz w:val="22"/>
        </w:rPr>
      </w:pPr>
      <w:proofErr w:type="spellStart"/>
      <w:proofErr w:type="gramStart"/>
      <w:r w:rsidRPr="00754B8B">
        <w:rPr>
          <w:i/>
          <w:sz w:val="22"/>
          <w:lang w:val="en-US"/>
        </w:rPr>
        <w:t>n</w:t>
      </w:r>
      <w:r w:rsidRPr="00754B8B">
        <w:rPr>
          <w:i/>
          <w:sz w:val="22"/>
          <w:vertAlign w:val="subscript"/>
          <w:lang w:val="en-US"/>
        </w:rPr>
        <w:t>i</w:t>
      </w:r>
      <w:proofErr w:type="spellEnd"/>
      <w:proofErr w:type="gramEnd"/>
      <w:r w:rsidRPr="00754B8B">
        <w:rPr>
          <w:sz w:val="22"/>
        </w:rPr>
        <w:t xml:space="preserve"> – число листьев с </w:t>
      </w:r>
      <w:r w:rsidRPr="00754B8B">
        <w:rPr>
          <w:i/>
          <w:sz w:val="22"/>
          <w:lang w:val="en-US"/>
        </w:rPr>
        <w:t>i</w:t>
      </w:r>
      <w:r w:rsidRPr="00754B8B">
        <w:rPr>
          <w:sz w:val="22"/>
        </w:rPr>
        <w:t>-м рисунком;</w:t>
      </w:r>
    </w:p>
    <w:p w:rsidR="00802970" w:rsidRDefault="00754B8B" w:rsidP="00754B8B">
      <w:pPr>
        <w:spacing w:line="240" w:lineRule="auto"/>
        <w:rPr>
          <w:sz w:val="22"/>
        </w:rPr>
      </w:pPr>
      <w:r w:rsidRPr="00754B8B">
        <w:rPr>
          <w:i/>
          <w:sz w:val="22"/>
          <w:lang w:val="en-US"/>
        </w:rPr>
        <w:t>N</w:t>
      </w:r>
      <w:r w:rsidRPr="00754B8B">
        <w:rPr>
          <w:sz w:val="22"/>
        </w:rPr>
        <w:t xml:space="preserve"> – </w:t>
      </w:r>
      <w:proofErr w:type="gramStart"/>
      <w:r w:rsidRPr="00754B8B">
        <w:rPr>
          <w:sz w:val="22"/>
        </w:rPr>
        <w:t>общее</w:t>
      </w:r>
      <w:proofErr w:type="gramEnd"/>
      <w:r w:rsidRPr="00754B8B">
        <w:rPr>
          <w:sz w:val="22"/>
        </w:rPr>
        <w:t xml:space="preserve"> число листьев в анализе.</w:t>
      </w:r>
    </w:p>
    <w:p w:rsidR="00754B8B" w:rsidRPr="00754B8B" w:rsidRDefault="00754B8B" w:rsidP="00754B8B">
      <w:pPr>
        <w:spacing w:line="240" w:lineRule="auto"/>
        <w:rPr>
          <w:sz w:val="22"/>
        </w:rPr>
      </w:pPr>
    </w:p>
    <w:p w:rsidR="00754B8B" w:rsidRPr="00754B8B" w:rsidRDefault="00754B8B" w:rsidP="00754B8B">
      <w:pPr>
        <w:ind w:firstLine="0"/>
        <w:jc w:val="center"/>
      </w:pPr>
      <w:r w:rsidRPr="00754B8B">
        <w:rPr>
          <w:i/>
        </w:rPr>
        <w:t>ИСФ</w:t>
      </w:r>
      <w:r w:rsidRPr="00802970">
        <w:t xml:space="preserve"> =</w:t>
      </w:r>
      <w:r w:rsidRPr="00754B8B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vertAlign w:val="subscript"/>
                      </w:rPr>
                      <m:t>=2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  <w:lang w:val="en-US"/>
                      </w:rPr>
                      <m:t>m</m:t>
                    </m:r>
                  </m:sup>
                  <m:e>
                    <m:r>
                      <w:rPr>
                        <w:rFonts w:ascii="Cambria Math" w:hAnsi="Cambria Math"/>
                        <w:vertAlign w:val="subscript"/>
                        <w:lang w:val="en-US"/>
                      </w:rPr>
                      <m:t>n</m:t>
                    </m:r>
                  </m:e>
                </m:nary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  <m:r>
          <w:rPr>
            <w:rFonts w:ascii="Cambria Math" w:hAnsi="Cambria Math"/>
          </w:rPr>
          <m:t>×100%</m:t>
        </m:r>
      </m:oMath>
      <w:r>
        <w:t>, где</w:t>
      </w:r>
    </w:p>
    <w:p w:rsidR="00802970" w:rsidRPr="00BE74CA" w:rsidRDefault="00BE74CA" w:rsidP="00BE74CA">
      <w:pPr>
        <w:spacing w:line="240" w:lineRule="auto"/>
        <w:rPr>
          <w:sz w:val="22"/>
        </w:rPr>
      </w:pPr>
      <w:r w:rsidRPr="00BE74CA">
        <w:rPr>
          <w:i/>
          <w:sz w:val="22"/>
        </w:rPr>
        <w:t>ИСФ</w:t>
      </w:r>
      <w:r w:rsidRPr="00BE74CA">
        <w:rPr>
          <w:sz w:val="22"/>
        </w:rPr>
        <w:t xml:space="preserve"> – индекс соотношения фенов;</w:t>
      </w:r>
    </w:p>
    <w:p w:rsidR="00BE74CA" w:rsidRDefault="00BE74CA" w:rsidP="00BE74CA">
      <w:pPr>
        <w:spacing w:line="240" w:lineRule="auto"/>
        <w:rPr>
          <w:sz w:val="22"/>
        </w:rPr>
      </w:pPr>
      <w:r w:rsidRPr="00BE74CA">
        <w:rPr>
          <w:i/>
          <w:sz w:val="22"/>
          <w:lang w:val="en-US"/>
        </w:rPr>
        <w:t>m</w:t>
      </w:r>
      <w:r w:rsidRPr="00BE74CA">
        <w:rPr>
          <w:sz w:val="22"/>
        </w:rPr>
        <w:t xml:space="preserve"> – </w:t>
      </w:r>
      <w:proofErr w:type="gramStart"/>
      <w:r w:rsidRPr="00BE74CA">
        <w:rPr>
          <w:sz w:val="22"/>
        </w:rPr>
        <w:t>общее</w:t>
      </w:r>
      <w:proofErr w:type="gramEnd"/>
      <w:r w:rsidRPr="00BE74CA">
        <w:rPr>
          <w:sz w:val="22"/>
        </w:rPr>
        <w:t xml:space="preserve"> число найденных фенов.</w:t>
      </w:r>
    </w:p>
    <w:p w:rsidR="00BE74CA" w:rsidRDefault="00BE74CA" w:rsidP="00BE74CA">
      <w:pPr>
        <w:spacing w:line="240" w:lineRule="auto"/>
        <w:rPr>
          <w:sz w:val="22"/>
        </w:rPr>
      </w:pPr>
    </w:p>
    <w:p w:rsidR="00996A46" w:rsidRDefault="00F943E8" w:rsidP="00BE74CA">
      <w:pPr>
        <w:spacing w:line="240" w:lineRule="auto"/>
        <w:rPr>
          <w:sz w:val="22"/>
        </w:rPr>
      </w:pPr>
      <w:r>
        <w:rPr>
          <w:sz w:val="22"/>
        </w:rPr>
        <w:t>Или можно записать эту формулу так:</w:t>
      </w:r>
    </w:p>
    <w:p w:rsidR="00996A46" w:rsidRDefault="00996A46" w:rsidP="00996A46">
      <w:pPr>
        <w:spacing w:line="240" w:lineRule="auto"/>
        <w:ind w:left="2123"/>
        <w:rPr>
          <w:sz w:val="22"/>
        </w:rPr>
      </w:pPr>
      <w:r>
        <w:rPr>
          <w:noProof/>
          <w:sz w:val="22"/>
          <w:lang w:eastAsia="ru-RU"/>
        </w:rPr>
        <w:drawing>
          <wp:inline distT="0" distB="0" distL="0" distR="0" wp14:anchorId="25084418" wp14:editId="49290B95">
            <wp:extent cx="3088163" cy="9585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005" cy="961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6A46" w:rsidRPr="00BE74CA" w:rsidRDefault="00996A46" w:rsidP="00996A46">
      <w:pPr>
        <w:spacing w:line="240" w:lineRule="auto"/>
        <w:ind w:left="2123"/>
        <w:rPr>
          <w:sz w:val="22"/>
        </w:rPr>
      </w:pPr>
    </w:p>
    <w:p w:rsidR="00754B8B" w:rsidRDefault="00BE74CA" w:rsidP="00802970">
      <w:r>
        <w:t xml:space="preserve">По вычисленному индексу соотношения фенов </w:t>
      </w:r>
      <w:r w:rsidR="00FE6170">
        <w:t xml:space="preserve">можно дать </w:t>
      </w:r>
      <w:r>
        <w:t>оценку антропогенной нагруженности отдельных участков исследованной территории, считая, что на чистых терр</w:t>
      </w:r>
      <w:r>
        <w:t>и</w:t>
      </w:r>
      <w:r>
        <w:t>ториях ИСФ не превышает 30%, а на си</w:t>
      </w:r>
      <w:r w:rsidR="00FE6170">
        <w:t>льно загрязнённых он 70% и выше.</w:t>
      </w:r>
    </w:p>
    <w:p w:rsidR="00FE6170" w:rsidRDefault="00FE6170" w:rsidP="00802970"/>
    <w:p w:rsidR="00BE74CA" w:rsidRPr="00BE74CA" w:rsidRDefault="00BE74CA" w:rsidP="00BE74CA">
      <w:pPr>
        <w:ind w:firstLine="0"/>
        <w:jc w:val="center"/>
        <w:rPr>
          <w:b/>
          <w:sz w:val="22"/>
        </w:rPr>
      </w:pPr>
      <w:r>
        <w:rPr>
          <w:b/>
          <w:sz w:val="22"/>
        </w:rPr>
        <w:t>Сводная</w:t>
      </w:r>
      <w:r w:rsidRPr="00BE74CA">
        <w:rPr>
          <w:b/>
          <w:sz w:val="22"/>
        </w:rPr>
        <w:t xml:space="preserve"> характеристика </w:t>
      </w:r>
      <w:r>
        <w:rPr>
          <w:b/>
          <w:sz w:val="22"/>
        </w:rPr>
        <w:t>изученных популяций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13"/>
        <w:gridCol w:w="5256"/>
        <w:gridCol w:w="3285"/>
      </w:tblGrid>
      <w:tr w:rsidR="00BE74CA" w:rsidRPr="00BE74CA" w:rsidTr="00BE74CA">
        <w:trPr>
          <w:jc w:val="center"/>
        </w:trPr>
        <w:tc>
          <w:tcPr>
            <w:tcW w:w="1313" w:type="dxa"/>
          </w:tcPr>
          <w:p w:rsidR="00BE74CA" w:rsidRPr="00BE74CA" w:rsidRDefault="00BE74CA" w:rsidP="00BE74CA">
            <w:pPr>
              <w:spacing w:line="240" w:lineRule="auto"/>
              <w:ind w:firstLine="0"/>
              <w:jc w:val="center"/>
              <w:rPr>
                <w:b/>
              </w:rPr>
            </w:pPr>
            <w:r w:rsidRPr="00BE74CA">
              <w:rPr>
                <w:b/>
              </w:rPr>
              <w:t>№ поп</w:t>
            </w:r>
            <w:r w:rsidRPr="00BE74CA">
              <w:rPr>
                <w:b/>
              </w:rPr>
              <w:t>у</w:t>
            </w:r>
            <w:r w:rsidRPr="00BE74CA">
              <w:rPr>
                <w:b/>
              </w:rPr>
              <w:t>ляции</w:t>
            </w:r>
          </w:p>
        </w:tc>
        <w:tc>
          <w:tcPr>
            <w:tcW w:w="5256" w:type="dxa"/>
            <w:vAlign w:val="center"/>
          </w:tcPr>
          <w:p w:rsidR="00BE74CA" w:rsidRPr="00BE74CA" w:rsidRDefault="00BE74CA" w:rsidP="00BE74CA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Местонахождение популяции</w:t>
            </w:r>
          </w:p>
        </w:tc>
        <w:tc>
          <w:tcPr>
            <w:tcW w:w="3285" w:type="dxa"/>
            <w:vAlign w:val="center"/>
          </w:tcPr>
          <w:p w:rsidR="00BE74CA" w:rsidRPr="00BE74CA" w:rsidRDefault="00BE74CA" w:rsidP="00BE74CA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Индекс соотношения фенов</w:t>
            </w:r>
          </w:p>
        </w:tc>
      </w:tr>
      <w:tr w:rsidR="00BE74CA" w:rsidTr="00BE74CA">
        <w:trPr>
          <w:jc w:val="center"/>
        </w:trPr>
        <w:tc>
          <w:tcPr>
            <w:tcW w:w="1313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5256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3285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</w:tr>
      <w:tr w:rsidR="00BE74CA" w:rsidTr="00BE74CA">
        <w:trPr>
          <w:jc w:val="center"/>
        </w:trPr>
        <w:tc>
          <w:tcPr>
            <w:tcW w:w="1313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5256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3285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</w:tr>
      <w:tr w:rsidR="00BE74CA" w:rsidTr="00BE74CA">
        <w:trPr>
          <w:jc w:val="center"/>
        </w:trPr>
        <w:tc>
          <w:tcPr>
            <w:tcW w:w="1313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5256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  <w:tc>
          <w:tcPr>
            <w:tcW w:w="3285" w:type="dxa"/>
          </w:tcPr>
          <w:p w:rsidR="00BE74CA" w:rsidRDefault="00BE74CA" w:rsidP="00BE74CA">
            <w:pPr>
              <w:spacing w:line="240" w:lineRule="auto"/>
              <w:ind w:firstLine="0"/>
              <w:jc w:val="center"/>
            </w:pPr>
          </w:p>
        </w:tc>
      </w:tr>
    </w:tbl>
    <w:p w:rsidR="00BE74CA" w:rsidRPr="00BE74CA" w:rsidRDefault="00BE74CA" w:rsidP="00996A46">
      <w:pPr>
        <w:ind w:firstLine="0"/>
        <w:jc w:val="center"/>
      </w:pPr>
    </w:p>
    <w:sectPr w:rsidR="00BE74CA" w:rsidRPr="00BE74CA" w:rsidSect="008029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A445C"/>
    <w:rsid w:val="00013E91"/>
    <w:rsid w:val="000820CD"/>
    <w:rsid w:val="00141AEB"/>
    <w:rsid w:val="00173605"/>
    <w:rsid w:val="001A601D"/>
    <w:rsid w:val="002343A3"/>
    <w:rsid w:val="00647919"/>
    <w:rsid w:val="006A445C"/>
    <w:rsid w:val="00754B8B"/>
    <w:rsid w:val="00802970"/>
    <w:rsid w:val="009718E3"/>
    <w:rsid w:val="00996A46"/>
    <w:rsid w:val="00A8451A"/>
    <w:rsid w:val="00AC3F20"/>
    <w:rsid w:val="00B05D5E"/>
    <w:rsid w:val="00BE74CA"/>
    <w:rsid w:val="00C105DF"/>
    <w:rsid w:val="00F943E8"/>
    <w:rsid w:val="00FE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E3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5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5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3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0297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A04F7-6F75-43CC-BEB7-8D198A05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Сыктывкарский государственный университет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BobrovYA</dc:creator>
  <cp:keywords/>
  <dc:description/>
  <cp:lastModifiedBy>Наталья Алексюк</cp:lastModifiedBy>
  <cp:revision>8</cp:revision>
  <cp:lastPrinted>2015-09-15T07:41:00Z</cp:lastPrinted>
  <dcterms:created xsi:type="dcterms:W3CDTF">2015-09-15T06:20:00Z</dcterms:created>
  <dcterms:modified xsi:type="dcterms:W3CDTF">2018-04-16T07:26:00Z</dcterms:modified>
</cp:coreProperties>
</file>