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9D6" w:rsidRDefault="001D49D6" w:rsidP="001D49D6">
      <w:pPr>
        <w:suppressAutoHyphens w:val="0"/>
        <w:spacing w:after="160" w:line="259" w:lineRule="auto"/>
        <w:jc w:val="center"/>
        <w:rPr>
          <w:b/>
          <w:sz w:val="32"/>
          <w:szCs w:val="32"/>
        </w:rPr>
      </w:pPr>
      <w:proofErr w:type="spellStart"/>
      <w:r w:rsidRPr="00151049">
        <w:rPr>
          <w:b/>
          <w:sz w:val="32"/>
          <w:szCs w:val="32"/>
        </w:rPr>
        <w:t>Биоиндикация</w:t>
      </w:r>
      <w:proofErr w:type="spellEnd"/>
      <w:r w:rsidRPr="00151049">
        <w:rPr>
          <w:b/>
          <w:sz w:val="32"/>
          <w:szCs w:val="32"/>
        </w:rPr>
        <w:t xml:space="preserve"> за</w:t>
      </w:r>
      <w:r>
        <w:rPr>
          <w:b/>
          <w:sz w:val="32"/>
          <w:szCs w:val="32"/>
        </w:rPr>
        <w:t>грязнения воздуха по хвое сосны</w:t>
      </w:r>
    </w:p>
    <w:p w:rsidR="001D49D6" w:rsidRPr="00690E81" w:rsidRDefault="001D49D6" w:rsidP="001D49D6">
      <w:pPr>
        <w:tabs>
          <w:tab w:val="left" w:pos="426"/>
        </w:tabs>
        <w:suppressAutoHyphens w:val="0"/>
        <w:spacing w:line="276" w:lineRule="auto"/>
        <w:ind w:firstLine="709"/>
        <w:jc w:val="both"/>
        <w:rPr>
          <w:lang w:eastAsia="ru-RU"/>
        </w:rPr>
      </w:pPr>
      <w:r w:rsidRPr="00690E81">
        <w:rPr>
          <w:lang w:eastAsia="ru-RU"/>
        </w:rPr>
        <w:t xml:space="preserve">В результате воздействия загрязняющих веществ, находящихся в окружающей среде, в растениях происходит разрушение хлорофилла, что приводит к снижению интенсивности фотосинтеза. При этом устанавливается такая последовательность проявления изменений в исследуемой экосистеме: </w:t>
      </w:r>
      <w:r w:rsidRPr="00690E81">
        <w:rPr>
          <w:i/>
          <w:iCs/>
          <w:lang w:eastAsia="ru-RU"/>
        </w:rPr>
        <w:t xml:space="preserve">хлороз </w:t>
      </w:r>
      <w:r w:rsidRPr="00690E81">
        <w:rPr>
          <w:lang w:eastAsia="ru-RU"/>
        </w:rPr>
        <w:t xml:space="preserve">(бледная или светлая окраска хвои, листьев); некроз (потемнение и отмирание частей хвои, листьев); </w:t>
      </w:r>
      <w:r w:rsidRPr="00690E81">
        <w:rPr>
          <w:i/>
          <w:iCs/>
          <w:lang w:eastAsia="ru-RU"/>
        </w:rPr>
        <w:t xml:space="preserve">дефолиация </w:t>
      </w:r>
      <w:r w:rsidRPr="00690E81">
        <w:rPr>
          <w:lang w:eastAsia="ru-RU"/>
        </w:rPr>
        <w:t xml:space="preserve">(опадение хвои, листьев). Критериями поражения могут быть: относительные потери в массе листьев; степень желтизны, синдром </w:t>
      </w:r>
      <w:proofErr w:type="spellStart"/>
      <w:r w:rsidRPr="00690E81">
        <w:rPr>
          <w:lang w:eastAsia="ru-RU"/>
        </w:rPr>
        <w:t>плакучести</w:t>
      </w:r>
      <w:proofErr w:type="spellEnd"/>
      <w:r w:rsidRPr="00690E81">
        <w:rPr>
          <w:lang w:eastAsia="ru-RU"/>
        </w:rPr>
        <w:t xml:space="preserve"> (обвисающие ветки); выступание смолы на ветвях и стволах; изменение формы кроны (разветвление без центрального побега при гибели верхушечной почки, нарушение роста боковых побегов, замедление роста в высоту).  </w:t>
      </w:r>
    </w:p>
    <w:p w:rsidR="001D49D6" w:rsidRPr="00690E81" w:rsidRDefault="001D49D6" w:rsidP="001D49D6">
      <w:pPr>
        <w:tabs>
          <w:tab w:val="left" w:pos="426"/>
        </w:tabs>
        <w:suppressAutoHyphens w:val="0"/>
        <w:spacing w:line="276" w:lineRule="auto"/>
        <w:ind w:firstLine="709"/>
        <w:jc w:val="both"/>
        <w:rPr>
          <w:lang w:eastAsia="ru-RU"/>
        </w:rPr>
      </w:pPr>
      <w:r w:rsidRPr="00690E81">
        <w:rPr>
          <w:lang w:eastAsia="ru-RU"/>
        </w:rPr>
        <w:t xml:space="preserve">В настоящее время установлено, что на атмосферное загрязнение воздуха более остро реагируют хвойные породы, по сравнению с лиственными растениями. </w:t>
      </w:r>
      <w:proofErr w:type="gramStart"/>
      <w:r w:rsidRPr="00690E81">
        <w:rPr>
          <w:lang w:eastAsia="ru-RU"/>
        </w:rPr>
        <w:t>Повышенная чувствительность хвойных связана с длительным сроком жизни хвои и поглощением газов.</w:t>
      </w:r>
      <w:proofErr w:type="gramEnd"/>
      <w:r w:rsidRPr="00690E81">
        <w:rPr>
          <w:lang w:eastAsia="ru-RU"/>
        </w:rPr>
        <w:t xml:space="preserve"> При частых или постоянных воздействиях в тканях хвойных растений постепенно накапливаются токсичные соединения, что приводит к отмиранию хвои. Источников антропогенного характера, вызывающих загрязнение атмосферы, а также нарушения экологического равновесия в биосфере - множество. Однако самым значительным из них является автотранспорт.   Это обусловливает выбор сосны как важнейшего индикатора антропогенного влияния, принимаемого в настоящее время за «эталон </w:t>
      </w:r>
      <w:proofErr w:type="spellStart"/>
      <w:r w:rsidRPr="00690E81">
        <w:rPr>
          <w:lang w:eastAsia="ru-RU"/>
        </w:rPr>
        <w:t>биодиагностики</w:t>
      </w:r>
      <w:proofErr w:type="spellEnd"/>
      <w:r w:rsidRPr="00690E81">
        <w:rPr>
          <w:lang w:eastAsia="ru-RU"/>
        </w:rPr>
        <w:t xml:space="preserve">». Информативными по техногенному загрязнению являются морфологические и анатомические изменения, а также продолжительность жизни хвои. Сосна как нельзя лучше подходит в качестве модельного вида-биоиндикатора </w:t>
      </w:r>
      <w:proofErr w:type="spellStart"/>
      <w:r w:rsidRPr="00690E81">
        <w:rPr>
          <w:lang w:eastAsia="ru-RU"/>
        </w:rPr>
        <w:t>загрязения</w:t>
      </w:r>
      <w:proofErr w:type="spellEnd"/>
      <w:r w:rsidRPr="00690E81">
        <w:rPr>
          <w:lang w:eastAsia="ru-RU"/>
        </w:rPr>
        <w:t xml:space="preserve"> атмосферного воздуха.</w:t>
      </w:r>
    </w:p>
    <w:p w:rsidR="001D49D6" w:rsidRPr="00690E81" w:rsidRDefault="001D49D6" w:rsidP="001D49D6">
      <w:pPr>
        <w:tabs>
          <w:tab w:val="left" w:pos="426"/>
        </w:tabs>
        <w:suppressAutoHyphens w:val="0"/>
        <w:spacing w:line="276" w:lineRule="auto"/>
        <w:ind w:firstLine="709"/>
        <w:jc w:val="both"/>
        <w:rPr>
          <w:lang w:eastAsia="ru-RU"/>
        </w:rPr>
      </w:pPr>
      <w:r w:rsidRPr="00B34798">
        <w:rPr>
          <w:rFonts w:eastAsia="Calibri"/>
          <w:lang w:eastAsia="en-US"/>
        </w:rPr>
        <w:t xml:space="preserve">Метод </w:t>
      </w:r>
      <w:r>
        <w:rPr>
          <w:rFonts w:eastAsia="Calibri"/>
          <w:lang w:eastAsia="en-US"/>
        </w:rPr>
        <w:t xml:space="preserve">исследований в данном кейсе </w:t>
      </w:r>
      <w:r w:rsidRPr="00B34798">
        <w:rPr>
          <w:rFonts w:eastAsia="Calibri"/>
          <w:lang w:eastAsia="en-US"/>
        </w:rPr>
        <w:t>основан на визуальной оценке внешнего вида двулетней хвои и длительности жизни хвои на деревьях в точке наблюдения вообще</w:t>
      </w:r>
      <w:r>
        <w:rPr>
          <w:rFonts w:eastAsia="Calibri"/>
          <w:lang w:eastAsia="en-US"/>
        </w:rPr>
        <w:t xml:space="preserve">. </w:t>
      </w:r>
    </w:p>
    <w:p w:rsidR="001D49D6" w:rsidRPr="00690E81" w:rsidRDefault="001D49D6" w:rsidP="001D49D6">
      <w:pPr>
        <w:tabs>
          <w:tab w:val="left" w:pos="426"/>
        </w:tabs>
        <w:suppressAutoHyphens w:val="0"/>
        <w:spacing w:line="276" w:lineRule="auto"/>
        <w:ind w:firstLine="709"/>
        <w:jc w:val="both"/>
        <w:rPr>
          <w:b/>
          <w:iCs/>
          <w:lang w:eastAsia="ru-RU"/>
        </w:rPr>
      </w:pPr>
      <w:r w:rsidRPr="00690E81">
        <w:rPr>
          <w:b/>
          <w:iCs/>
          <w:lang w:eastAsia="ru-RU"/>
        </w:rPr>
        <w:t xml:space="preserve">Оборудование: </w:t>
      </w:r>
    </w:p>
    <w:p w:rsidR="001D49D6" w:rsidRPr="00690E81" w:rsidRDefault="001D49D6" w:rsidP="001D49D6">
      <w:pPr>
        <w:tabs>
          <w:tab w:val="left" w:pos="426"/>
        </w:tabs>
        <w:suppressAutoHyphens w:val="0"/>
        <w:spacing w:line="276" w:lineRule="auto"/>
        <w:ind w:firstLine="709"/>
        <w:jc w:val="both"/>
        <w:rPr>
          <w:iCs/>
          <w:lang w:eastAsia="ru-RU"/>
        </w:rPr>
      </w:pPr>
      <w:r w:rsidRPr="00690E81">
        <w:rPr>
          <w:iCs/>
          <w:lang w:eastAsia="ru-RU"/>
        </w:rPr>
        <w:t>лупа, пинцет</w:t>
      </w:r>
    </w:p>
    <w:p w:rsidR="001D49D6" w:rsidRPr="00690E81" w:rsidRDefault="001D49D6" w:rsidP="001D49D6">
      <w:pPr>
        <w:tabs>
          <w:tab w:val="left" w:pos="426"/>
        </w:tabs>
        <w:suppressAutoHyphens w:val="0"/>
        <w:spacing w:line="276" w:lineRule="auto"/>
        <w:ind w:firstLine="709"/>
        <w:jc w:val="both"/>
        <w:rPr>
          <w:iCs/>
          <w:lang w:eastAsia="ru-RU"/>
        </w:rPr>
      </w:pPr>
    </w:p>
    <w:p w:rsidR="001D49D6" w:rsidRDefault="001D49D6" w:rsidP="001D49D6">
      <w:pPr>
        <w:tabs>
          <w:tab w:val="left" w:pos="426"/>
        </w:tabs>
        <w:suppressAutoHyphens w:val="0"/>
        <w:spacing w:line="276" w:lineRule="auto"/>
        <w:ind w:left="282" w:firstLine="426"/>
        <w:rPr>
          <w:b/>
          <w:bCs/>
          <w:iCs/>
          <w:lang w:eastAsia="ru-RU"/>
        </w:rPr>
      </w:pPr>
      <w:r w:rsidRPr="00690E81">
        <w:rPr>
          <w:b/>
          <w:bCs/>
          <w:iCs/>
          <w:lang w:eastAsia="ru-RU"/>
        </w:rPr>
        <w:t>Выполнение работы</w:t>
      </w:r>
    </w:p>
    <w:p w:rsidR="001D49D6" w:rsidRPr="00690E81" w:rsidRDefault="001D49D6" w:rsidP="001D49D6">
      <w:pPr>
        <w:tabs>
          <w:tab w:val="left" w:pos="426"/>
        </w:tabs>
        <w:suppressAutoHyphens w:val="0"/>
        <w:spacing w:line="276" w:lineRule="auto"/>
        <w:ind w:left="282" w:firstLine="426"/>
        <w:rPr>
          <w:lang w:eastAsia="ru-RU"/>
        </w:rPr>
      </w:pPr>
    </w:p>
    <w:p w:rsidR="001D49D6" w:rsidRPr="00B34798" w:rsidRDefault="001D49D6" w:rsidP="001D49D6">
      <w:pPr>
        <w:shd w:val="clear" w:color="auto" w:fill="FFFFFF"/>
        <w:suppressAutoHyphens w:val="0"/>
        <w:spacing w:line="276" w:lineRule="auto"/>
        <w:ind w:firstLine="282"/>
        <w:jc w:val="both"/>
        <w:rPr>
          <w:color w:val="323232"/>
          <w:lang w:eastAsia="ru-RU"/>
        </w:rPr>
      </w:pPr>
      <w:r w:rsidRPr="00690E81">
        <w:rPr>
          <w:lang w:eastAsia="ru-RU"/>
        </w:rPr>
        <w:t>В работе исследуются молодые сосны на нескольких участках в условиях сильного загрязнения и</w:t>
      </w:r>
      <w:r>
        <w:rPr>
          <w:lang w:eastAsia="ru-RU"/>
        </w:rPr>
        <w:t xml:space="preserve"> для сравнения</w:t>
      </w:r>
      <w:r w:rsidRPr="00690E81">
        <w:rPr>
          <w:lang w:eastAsia="ru-RU"/>
        </w:rPr>
        <w:t xml:space="preserve"> на мало загрязняемой территории (более удаленной от источника выбросов в атмосферу) Необходимо </w:t>
      </w:r>
      <w:r>
        <w:rPr>
          <w:lang w:eastAsia="ru-RU"/>
        </w:rPr>
        <w:t xml:space="preserve">отобрать с боковых побегов 2 </w:t>
      </w:r>
      <w:r w:rsidRPr="00690E81">
        <w:rPr>
          <w:lang w:eastAsia="ru-RU"/>
        </w:rPr>
        <w:t xml:space="preserve">года жизни (каждый год жизни побега – мутовка сверху) 200 пар хвоинок. </w:t>
      </w:r>
      <w:r w:rsidRPr="00B34798">
        <w:rPr>
          <w:color w:val="323232"/>
          <w:lang w:eastAsia="ru-RU"/>
        </w:rPr>
        <w:t>Параллельно оценивают длительность жизни хвои.</w:t>
      </w:r>
    </w:p>
    <w:p w:rsidR="001D49D6" w:rsidRPr="00B34798" w:rsidRDefault="001D49D6" w:rsidP="001D49D6">
      <w:pPr>
        <w:tabs>
          <w:tab w:val="left" w:pos="426"/>
        </w:tabs>
        <w:suppressAutoHyphens w:val="0"/>
        <w:spacing w:line="276" w:lineRule="auto"/>
        <w:ind w:firstLine="709"/>
        <w:jc w:val="both"/>
        <w:rPr>
          <w:color w:val="000000"/>
          <w:lang w:eastAsia="ru-RU"/>
        </w:rPr>
      </w:pPr>
    </w:p>
    <w:p w:rsidR="001D49D6" w:rsidRPr="00690E81" w:rsidRDefault="001D49D6" w:rsidP="001D49D6">
      <w:pPr>
        <w:tabs>
          <w:tab w:val="left" w:pos="426"/>
        </w:tabs>
        <w:suppressAutoHyphens w:val="0"/>
        <w:spacing w:line="276" w:lineRule="auto"/>
        <w:ind w:firstLine="709"/>
        <w:jc w:val="both"/>
        <w:rPr>
          <w:lang w:eastAsia="ru-RU"/>
        </w:rPr>
      </w:pPr>
    </w:p>
    <w:p w:rsidR="001D49D6" w:rsidRPr="00690E81" w:rsidRDefault="001D49D6" w:rsidP="001D49D6">
      <w:pPr>
        <w:tabs>
          <w:tab w:val="left" w:pos="426"/>
        </w:tabs>
        <w:suppressAutoHyphens w:val="0"/>
        <w:spacing w:line="276" w:lineRule="auto"/>
        <w:ind w:firstLine="709"/>
        <w:jc w:val="center"/>
        <w:rPr>
          <w:b/>
          <w:lang w:eastAsia="ru-RU"/>
        </w:rPr>
      </w:pPr>
      <w:r>
        <w:rPr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>
            <wp:extent cx="3228975" cy="2238375"/>
            <wp:effectExtent l="0" t="0" r="9525" b="9525"/>
            <wp:docPr id="2" name="Рисунок 2" descr="Описание: https://arhivurokov.ru/multiurok/html/2017/01/30/s_588f3838986ac/223290_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s://arhivurokov.ru/multiurok/html/2017/01/30/s_588f3838986ac/223290_6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9D6" w:rsidRPr="00690E81" w:rsidRDefault="001D49D6" w:rsidP="001D49D6">
      <w:pPr>
        <w:jc w:val="center"/>
        <w:rPr>
          <w:color w:val="000000"/>
          <w:shd w:val="clear" w:color="auto" w:fill="FFFFFF"/>
        </w:rPr>
      </w:pPr>
      <w:r w:rsidRPr="00690E81">
        <w:rPr>
          <w:color w:val="000000"/>
          <w:shd w:val="clear" w:color="auto" w:fill="FFFFFF"/>
        </w:rPr>
        <w:t>Рис.1. Схема определения продолжительности жизни хвои сосны (в годах).</w:t>
      </w:r>
    </w:p>
    <w:p w:rsidR="001D49D6" w:rsidRPr="00690E81" w:rsidRDefault="001D49D6" w:rsidP="001D49D6">
      <w:pPr>
        <w:spacing w:line="276" w:lineRule="auto"/>
      </w:pPr>
    </w:p>
    <w:p w:rsidR="001D49D6" w:rsidRPr="00690E81" w:rsidRDefault="001D49D6" w:rsidP="001D49D6">
      <w:pPr>
        <w:tabs>
          <w:tab w:val="left" w:pos="426"/>
        </w:tabs>
        <w:suppressAutoHyphens w:val="0"/>
        <w:spacing w:line="276" w:lineRule="auto"/>
        <w:ind w:firstLine="709"/>
        <w:jc w:val="both"/>
        <w:rPr>
          <w:b/>
          <w:lang w:eastAsia="ru-RU"/>
        </w:rPr>
      </w:pPr>
      <w:r w:rsidRPr="00690E81">
        <w:rPr>
          <w:b/>
          <w:lang w:eastAsia="ru-RU"/>
        </w:rPr>
        <w:t>Обработка результатов.</w:t>
      </w:r>
    </w:p>
    <w:p w:rsidR="001D49D6" w:rsidRDefault="001D49D6" w:rsidP="001D49D6">
      <w:pPr>
        <w:tabs>
          <w:tab w:val="left" w:pos="426"/>
        </w:tabs>
        <w:suppressAutoHyphens w:val="0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1D49D6" w:rsidRPr="00690E81" w:rsidRDefault="001D49D6" w:rsidP="001D49D6">
      <w:pPr>
        <w:tabs>
          <w:tab w:val="left" w:pos="426"/>
        </w:tabs>
        <w:suppressAutoHyphens w:val="0"/>
        <w:spacing w:line="276" w:lineRule="auto"/>
        <w:ind w:firstLine="709"/>
        <w:jc w:val="both"/>
        <w:rPr>
          <w:lang w:eastAsia="ru-RU"/>
        </w:rPr>
      </w:pPr>
      <w:r w:rsidRPr="00B34798">
        <w:rPr>
          <w:rFonts w:eastAsia="Calibri"/>
          <w:lang w:eastAsia="en-US"/>
        </w:rPr>
        <w:t xml:space="preserve">Хвою разбирают сразу же в лаборатории, определяя баллы классов </w:t>
      </w:r>
      <w:proofErr w:type="spellStart"/>
      <w:r w:rsidRPr="00B34798">
        <w:rPr>
          <w:rFonts w:eastAsia="Calibri"/>
          <w:lang w:eastAsia="en-US"/>
        </w:rPr>
        <w:t>некрозности</w:t>
      </w:r>
      <w:proofErr w:type="spellEnd"/>
      <w:r w:rsidRPr="00B34798">
        <w:rPr>
          <w:rFonts w:eastAsia="Calibri"/>
          <w:lang w:eastAsia="en-US"/>
        </w:rPr>
        <w:t xml:space="preserve"> и усыхания. По классам </w:t>
      </w:r>
      <w:proofErr w:type="spellStart"/>
      <w:r w:rsidRPr="00B34798">
        <w:rPr>
          <w:rFonts w:eastAsia="Calibri"/>
          <w:lang w:eastAsia="en-US"/>
        </w:rPr>
        <w:t>некрозности</w:t>
      </w:r>
      <w:proofErr w:type="spellEnd"/>
      <w:r w:rsidRPr="00B34798">
        <w:rPr>
          <w:rFonts w:eastAsia="Calibri"/>
          <w:lang w:eastAsia="en-US"/>
        </w:rPr>
        <w:t xml:space="preserve"> выделяют: 1-й – хвоинки равномерно зелёные (кроме кончика, который светлее, иногда жёлтый), 2-й – хвоинки с небольшим числом мелких пятен, 3-й – хвоинки с большим числом жёлтых и чёрных пятен, которые могут быть величиной во всю хвоинку; по классам усыхания: 1-й – на хвоинках нет сухих участков, 2-й – усох кончик до длины 5 </w:t>
      </w:r>
      <w:r w:rsidRPr="00B34798">
        <w:rPr>
          <w:rFonts w:eastAsia="Calibri"/>
          <w:i/>
          <w:lang w:eastAsia="en-US"/>
        </w:rPr>
        <w:t>мм</w:t>
      </w:r>
      <w:r w:rsidRPr="00B34798">
        <w:rPr>
          <w:rFonts w:eastAsia="Calibri"/>
          <w:lang w:eastAsia="en-US"/>
        </w:rPr>
        <w:t>, 3-й – хвоинка усохла на треть, 4-й – хвоинка усохла полностью или на большей части.</w:t>
      </w:r>
    </w:p>
    <w:p w:rsidR="001D49D6" w:rsidRPr="00690E81" w:rsidRDefault="001D49D6" w:rsidP="001D49D6">
      <w:pPr>
        <w:shd w:val="clear" w:color="auto" w:fill="FFFFFF"/>
        <w:suppressAutoHyphens w:val="0"/>
        <w:spacing w:before="240" w:after="240"/>
        <w:rPr>
          <w:rFonts w:ascii="Arial" w:hAnsi="Arial" w:cs="Arial"/>
          <w:color w:val="323232"/>
          <w:sz w:val="18"/>
          <w:szCs w:val="18"/>
          <w:lang w:eastAsia="ru-RU"/>
        </w:rPr>
      </w:pPr>
      <w:r>
        <w:rPr>
          <w:b/>
          <w:noProof/>
          <w:color w:val="000000"/>
          <w:lang w:eastAsia="ru-RU"/>
        </w:rPr>
        <w:drawing>
          <wp:inline distT="0" distB="0" distL="0" distR="0">
            <wp:extent cx="5572125" cy="4238625"/>
            <wp:effectExtent l="0" t="0" r="9525" b="9525"/>
            <wp:docPr id="1" name="Рисунок 1" descr="Описание: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9D6" w:rsidRDefault="001D49D6" w:rsidP="001D49D6">
      <w:pPr>
        <w:shd w:val="clear" w:color="auto" w:fill="FFFFFF"/>
        <w:suppressAutoHyphens w:val="0"/>
        <w:spacing w:line="276" w:lineRule="auto"/>
        <w:jc w:val="center"/>
        <w:rPr>
          <w:bCs/>
          <w:color w:val="000000"/>
          <w:lang w:eastAsia="ru-RU"/>
        </w:rPr>
      </w:pPr>
      <w:r w:rsidRPr="00690E81">
        <w:rPr>
          <w:bCs/>
          <w:color w:val="000000"/>
          <w:lang w:eastAsia="ru-RU"/>
        </w:rPr>
        <w:t>Рис.2. Классы повреждения и усыхания хвои</w:t>
      </w:r>
    </w:p>
    <w:p w:rsidR="001D49D6" w:rsidRPr="00690E81" w:rsidRDefault="001D49D6" w:rsidP="001D49D6">
      <w:pPr>
        <w:shd w:val="clear" w:color="auto" w:fill="FFFFFF"/>
        <w:suppressAutoHyphens w:val="0"/>
        <w:spacing w:line="276" w:lineRule="auto"/>
        <w:jc w:val="center"/>
        <w:rPr>
          <w:bCs/>
          <w:color w:val="000000"/>
          <w:lang w:eastAsia="ru-RU"/>
        </w:rPr>
      </w:pPr>
    </w:p>
    <w:p w:rsidR="001D49D6" w:rsidRPr="00B34798" w:rsidRDefault="001D49D6" w:rsidP="001D49D6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B34798">
        <w:rPr>
          <w:rFonts w:eastAsia="Calibri"/>
          <w:lang w:eastAsia="en-US"/>
        </w:rPr>
        <w:t>Общий балл повреждения определяют по таблице 1.</w:t>
      </w:r>
    </w:p>
    <w:p w:rsidR="001D49D6" w:rsidRPr="00B34798" w:rsidRDefault="001D49D6" w:rsidP="001D49D6">
      <w:pPr>
        <w:spacing w:line="360" w:lineRule="auto"/>
        <w:jc w:val="right"/>
        <w:rPr>
          <w:rFonts w:eastAsia="Calibri"/>
          <w:lang w:eastAsia="en-US"/>
        </w:rPr>
      </w:pPr>
      <w:r w:rsidRPr="00B34798">
        <w:rPr>
          <w:rFonts w:eastAsia="Calibri"/>
          <w:lang w:eastAsia="en-US"/>
        </w:rPr>
        <w:t>Таблица 1</w:t>
      </w:r>
    </w:p>
    <w:p w:rsidR="001D49D6" w:rsidRPr="00B34798" w:rsidRDefault="001D49D6" w:rsidP="001D49D6">
      <w:pPr>
        <w:spacing w:line="360" w:lineRule="auto"/>
        <w:jc w:val="center"/>
        <w:rPr>
          <w:rFonts w:eastAsia="Calibri"/>
          <w:lang w:eastAsia="en-US"/>
        </w:rPr>
      </w:pPr>
      <w:r w:rsidRPr="00B34798">
        <w:rPr>
          <w:rFonts w:eastAsia="Calibri"/>
          <w:lang w:eastAsia="en-US"/>
        </w:rPr>
        <w:t>Матрица определения балла повреждения хвои</w:t>
      </w:r>
    </w:p>
    <w:tbl>
      <w:tblPr>
        <w:tblW w:w="9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1642"/>
        <w:gridCol w:w="1642"/>
        <w:gridCol w:w="1643"/>
        <w:gridCol w:w="1642"/>
      </w:tblGrid>
      <w:tr w:rsidR="001D49D6" w:rsidRPr="002460D5" w:rsidTr="00C7484C">
        <w:trPr>
          <w:jc w:val="center"/>
        </w:trPr>
        <w:tc>
          <w:tcPr>
            <w:tcW w:w="30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34798">
              <w:rPr>
                <w:rFonts w:eastAsia="Calibri"/>
                <w:szCs w:val="22"/>
                <w:lang w:eastAsia="en-US"/>
              </w:rPr>
              <w:t xml:space="preserve">Класс </w:t>
            </w:r>
            <w:proofErr w:type="spellStart"/>
            <w:r w:rsidRPr="00B34798">
              <w:rPr>
                <w:rFonts w:eastAsia="Calibri"/>
                <w:szCs w:val="22"/>
                <w:lang w:eastAsia="en-US"/>
              </w:rPr>
              <w:t>некрозности</w:t>
            </w:r>
            <w:proofErr w:type="spellEnd"/>
          </w:p>
        </w:tc>
        <w:tc>
          <w:tcPr>
            <w:tcW w:w="6569" w:type="dxa"/>
            <w:gridSpan w:val="4"/>
            <w:tcBorders>
              <w:lef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34798">
              <w:rPr>
                <w:rFonts w:eastAsia="Calibri"/>
                <w:szCs w:val="22"/>
                <w:lang w:eastAsia="en-US"/>
              </w:rPr>
              <w:t>Класс усыхания</w:t>
            </w:r>
          </w:p>
        </w:tc>
      </w:tr>
      <w:tr w:rsidR="001D49D6" w:rsidRPr="002460D5" w:rsidTr="00C7484C">
        <w:trPr>
          <w:jc w:val="center"/>
        </w:trPr>
        <w:tc>
          <w:tcPr>
            <w:tcW w:w="30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642" w:type="dxa"/>
            <w:tcBorders>
              <w:lef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1</w:t>
            </w:r>
          </w:p>
        </w:tc>
        <w:tc>
          <w:tcPr>
            <w:tcW w:w="1642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2</w:t>
            </w:r>
          </w:p>
        </w:tc>
        <w:tc>
          <w:tcPr>
            <w:tcW w:w="164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3</w:t>
            </w:r>
          </w:p>
        </w:tc>
        <w:tc>
          <w:tcPr>
            <w:tcW w:w="1642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4</w:t>
            </w:r>
          </w:p>
        </w:tc>
      </w:tr>
      <w:tr w:rsidR="001D49D6" w:rsidRPr="002460D5" w:rsidTr="00C7484C">
        <w:trPr>
          <w:jc w:val="center"/>
        </w:trPr>
        <w:tc>
          <w:tcPr>
            <w:tcW w:w="3074" w:type="dxa"/>
            <w:tcBorders>
              <w:top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1</w:t>
            </w:r>
          </w:p>
        </w:tc>
        <w:tc>
          <w:tcPr>
            <w:tcW w:w="1642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34798">
              <w:rPr>
                <w:rFonts w:eastAsia="Calibri"/>
                <w:szCs w:val="22"/>
                <w:lang w:eastAsia="en-US"/>
              </w:rPr>
              <w:t>1</w:t>
            </w:r>
          </w:p>
        </w:tc>
        <w:tc>
          <w:tcPr>
            <w:tcW w:w="1642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–*</w:t>
            </w:r>
          </w:p>
        </w:tc>
        <w:tc>
          <w:tcPr>
            <w:tcW w:w="164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–</w:t>
            </w:r>
          </w:p>
        </w:tc>
        <w:tc>
          <w:tcPr>
            <w:tcW w:w="1642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–</w:t>
            </w:r>
          </w:p>
        </w:tc>
      </w:tr>
      <w:tr w:rsidR="001D49D6" w:rsidRPr="002460D5" w:rsidTr="00C7484C">
        <w:trPr>
          <w:jc w:val="center"/>
        </w:trPr>
        <w:tc>
          <w:tcPr>
            <w:tcW w:w="3074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2</w:t>
            </w:r>
          </w:p>
        </w:tc>
        <w:tc>
          <w:tcPr>
            <w:tcW w:w="1642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34798">
              <w:rPr>
                <w:rFonts w:eastAsia="Calibri"/>
                <w:szCs w:val="22"/>
                <w:lang w:eastAsia="en-US"/>
              </w:rPr>
              <w:t>2</w:t>
            </w:r>
          </w:p>
        </w:tc>
        <w:tc>
          <w:tcPr>
            <w:tcW w:w="1642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34798">
              <w:rPr>
                <w:rFonts w:eastAsia="Calibri"/>
                <w:szCs w:val="22"/>
                <w:lang w:eastAsia="en-US"/>
              </w:rPr>
              <w:t>2</w:t>
            </w:r>
          </w:p>
        </w:tc>
        <w:tc>
          <w:tcPr>
            <w:tcW w:w="164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–</w:t>
            </w:r>
          </w:p>
        </w:tc>
        <w:tc>
          <w:tcPr>
            <w:tcW w:w="1642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–</w:t>
            </w:r>
          </w:p>
        </w:tc>
      </w:tr>
      <w:tr w:rsidR="001D49D6" w:rsidRPr="002460D5" w:rsidTr="00C7484C">
        <w:trPr>
          <w:jc w:val="center"/>
        </w:trPr>
        <w:tc>
          <w:tcPr>
            <w:tcW w:w="3074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3</w:t>
            </w:r>
          </w:p>
        </w:tc>
        <w:tc>
          <w:tcPr>
            <w:tcW w:w="1642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34798">
              <w:rPr>
                <w:rFonts w:eastAsia="Calibri"/>
                <w:szCs w:val="22"/>
                <w:lang w:eastAsia="en-US"/>
              </w:rPr>
              <w:t>3</w:t>
            </w:r>
          </w:p>
        </w:tc>
        <w:tc>
          <w:tcPr>
            <w:tcW w:w="1642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34798">
              <w:rPr>
                <w:rFonts w:eastAsia="Calibri"/>
                <w:szCs w:val="22"/>
                <w:lang w:eastAsia="en-US"/>
              </w:rPr>
              <w:t>3</w:t>
            </w:r>
          </w:p>
        </w:tc>
        <w:tc>
          <w:tcPr>
            <w:tcW w:w="164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34798">
              <w:rPr>
                <w:rFonts w:eastAsia="Calibri"/>
                <w:szCs w:val="22"/>
                <w:lang w:eastAsia="en-US"/>
              </w:rPr>
              <w:t>3</w:t>
            </w:r>
          </w:p>
        </w:tc>
        <w:tc>
          <w:tcPr>
            <w:tcW w:w="1642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34798">
              <w:rPr>
                <w:rFonts w:eastAsia="Calibri"/>
                <w:szCs w:val="22"/>
                <w:lang w:eastAsia="en-US"/>
              </w:rPr>
              <w:t>3</w:t>
            </w:r>
          </w:p>
        </w:tc>
      </w:tr>
    </w:tbl>
    <w:p w:rsidR="001D49D6" w:rsidRPr="00B34798" w:rsidRDefault="001D49D6" w:rsidP="001D49D6">
      <w:pPr>
        <w:spacing w:line="360" w:lineRule="auto"/>
        <w:jc w:val="both"/>
        <w:rPr>
          <w:rFonts w:eastAsia="Calibri"/>
          <w:i/>
          <w:lang w:eastAsia="en-US"/>
        </w:rPr>
      </w:pPr>
      <w:r w:rsidRPr="00B34798">
        <w:rPr>
          <w:rFonts w:eastAsia="Calibri"/>
          <w:i/>
          <w:lang w:eastAsia="en-US"/>
        </w:rPr>
        <w:t>Примечание: * – прочерк означает, что ситуация в природе не встречается.</w:t>
      </w:r>
    </w:p>
    <w:p w:rsidR="001D49D6" w:rsidRDefault="001D49D6" w:rsidP="001D49D6">
      <w:pPr>
        <w:spacing w:line="360" w:lineRule="auto"/>
        <w:ind w:firstLine="709"/>
        <w:jc w:val="both"/>
        <w:rPr>
          <w:rFonts w:eastAsia="Calibri"/>
          <w:lang w:eastAsia="en-US"/>
        </w:rPr>
      </w:pPr>
    </w:p>
    <w:p w:rsidR="001D49D6" w:rsidRPr="00B34798" w:rsidRDefault="001D49D6" w:rsidP="001D49D6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B34798">
        <w:rPr>
          <w:rFonts w:eastAsia="Calibri"/>
          <w:lang w:eastAsia="en-US"/>
        </w:rPr>
        <w:t xml:space="preserve">Чистоту воздуха определяют по таблице 2; данные по всем точкам сводят в таблицу 3. По ней делают вывод о чистых и загрязнённых территориях района наблюдения, считая, что </w:t>
      </w:r>
      <w:r w:rsidRPr="00B34798">
        <w:rPr>
          <w:rFonts w:eastAsia="Calibri"/>
          <w:lang w:val="en-US" w:eastAsia="en-US"/>
        </w:rPr>
        <w:t>I</w:t>
      </w:r>
      <w:r w:rsidRPr="00B34798">
        <w:rPr>
          <w:rFonts w:eastAsia="Calibri"/>
          <w:lang w:eastAsia="en-US"/>
        </w:rPr>
        <w:t xml:space="preserve"> балл чистоты обозначает идеально чистый воздух, </w:t>
      </w:r>
      <w:r w:rsidRPr="00B34798">
        <w:rPr>
          <w:rFonts w:eastAsia="Calibri"/>
          <w:lang w:val="en-US" w:eastAsia="en-US"/>
        </w:rPr>
        <w:t>II</w:t>
      </w:r>
      <w:r w:rsidRPr="00B34798">
        <w:rPr>
          <w:rFonts w:eastAsia="Calibri"/>
          <w:lang w:eastAsia="en-US"/>
        </w:rPr>
        <w:t xml:space="preserve"> – чистый воздух, </w:t>
      </w:r>
      <w:r w:rsidRPr="00B34798">
        <w:rPr>
          <w:rFonts w:eastAsia="Calibri"/>
          <w:lang w:val="en-US" w:eastAsia="en-US"/>
        </w:rPr>
        <w:t>III</w:t>
      </w:r>
      <w:r w:rsidRPr="00B34798">
        <w:rPr>
          <w:rFonts w:eastAsia="Calibri"/>
          <w:lang w:eastAsia="en-US"/>
        </w:rPr>
        <w:t xml:space="preserve"> – относительно чистый воздух (условная норма), </w:t>
      </w:r>
      <w:r w:rsidRPr="00B34798">
        <w:rPr>
          <w:rFonts w:eastAsia="Calibri"/>
          <w:lang w:val="en-US" w:eastAsia="en-US"/>
        </w:rPr>
        <w:t>IV</w:t>
      </w:r>
      <w:r w:rsidRPr="00B34798">
        <w:rPr>
          <w:rFonts w:eastAsia="Calibri"/>
          <w:lang w:eastAsia="en-US"/>
        </w:rPr>
        <w:t xml:space="preserve"> – загрязнённый воздух, </w:t>
      </w:r>
      <w:r w:rsidRPr="00B34798">
        <w:rPr>
          <w:rFonts w:eastAsia="Calibri"/>
          <w:lang w:val="en-US" w:eastAsia="en-US"/>
        </w:rPr>
        <w:t>V</w:t>
      </w:r>
      <w:r w:rsidRPr="00B34798">
        <w:rPr>
          <w:rFonts w:eastAsia="Calibri"/>
          <w:lang w:eastAsia="en-US"/>
        </w:rPr>
        <w:t xml:space="preserve"> – грязный воздух, </w:t>
      </w:r>
      <w:r w:rsidRPr="00B34798">
        <w:rPr>
          <w:rFonts w:eastAsia="Calibri"/>
          <w:lang w:val="en-US" w:eastAsia="en-US"/>
        </w:rPr>
        <w:t>VI</w:t>
      </w:r>
      <w:r w:rsidRPr="00B34798">
        <w:rPr>
          <w:rFonts w:eastAsia="Calibri"/>
          <w:lang w:eastAsia="en-US"/>
        </w:rPr>
        <w:t xml:space="preserve"> – очень грязный воздух.</w:t>
      </w:r>
    </w:p>
    <w:p w:rsidR="001D49D6" w:rsidRPr="00B34798" w:rsidRDefault="001D49D6" w:rsidP="001D49D6">
      <w:pPr>
        <w:spacing w:line="360" w:lineRule="auto"/>
        <w:jc w:val="right"/>
        <w:rPr>
          <w:rFonts w:eastAsia="Calibri"/>
          <w:i/>
          <w:lang w:eastAsia="en-US"/>
        </w:rPr>
      </w:pPr>
      <w:r w:rsidRPr="00B34798">
        <w:rPr>
          <w:rFonts w:eastAsia="Calibri"/>
          <w:i/>
          <w:lang w:eastAsia="en-US"/>
        </w:rPr>
        <w:t>Таблица 2</w:t>
      </w:r>
    </w:p>
    <w:p w:rsidR="001D49D6" w:rsidRPr="00B34798" w:rsidRDefault="001D49D6" w:rsidP="001D49D6">
      <w:pPr>
        <w:spacing w:line="360" w:lineRule="auto"/>
        <w:jc w:val="center"/>
        <w:rPr>
          <w:rFonts w:eastAsia="Calibri"/>
          <w:lang w:eastAsia="en-US"/>
        </w:rPr>
      </w:pPr>
      <w:r w:rsidRPr="00B34798">
        <w:rPr>
          <w:rFonts w:eastAsia="Calibri"/>
          <w:lang w:eastAsia="en-US"/>
        </w:rPr>
        <w:t>Матрица определения чистоты воздуха</w:t>
      </w:r>
    </w:p>
    <w:tbl>
      <w:tblPr>
        <w:tblW w:w="9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64"/>
        <w:gridCol w:w="2461"/>
        <w:gridCol w:w="2465"/>
        <w:gridCol w:w="2463"/>
      </w:tblGrid>
      <w:tr w:rsidR="001D49D6" w:rsidRPr="002460D5" w:rsidTr="00C7484C">
        <w:tc>
          <w:tcPr>
            <w:tcW w:w="2463" w:type="dxa"/>
            <w:vMerge w:val="restart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34798">
              <w:rPr>
                <w:rFonts w:eastAsia="Calibri"/>
                <w:szCs w:val="22"/>
                <w:lang w:eastAsia="en-US"/>
              </w:rPr>
              <w:t>Максимальный возраст хвои</w:t>
            </w:r>
          </w:p>
        </w:tc>
        <w:tc>
          <w:tcPr>
            <w:tcW w:w="7389" w:type="dxa"/>
            <w:gridSpan w:val="3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34798">
              <w:rPr>
                <w:rFonts w:eastAsia="Calibri"/>
                <w:szCs w:val="22"/>
                <w:lang w:eastAsia="en-US"/>
              </w:rPr>
              <w:t>Балл повреждения хвои</w:t>
            </w:r>
          </w:p>
        </w:tc>
      </w:tr>
      <w:tr w:rsidR="001D49D6" w:rsidRPr="002460D5" w:rsidTr="00C7484C">
        <w:tc>
          <w:tcPr>
            <w:tcW w:w="2463" w:type="dxa"/>
            <w:vMerge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461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1</w:t>
            </w:r>
          </w:p>
        </w:tc>
        <w:tc>
          <w:tcPr>
            <w:tcW w:w="2465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2</w:t>
            </w:r>
          </w:p>
        </w:tc>
        <w:tc>
          <w:tcPr>
            <w:tcW w:w="246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3</w:t>
            </w:r>
          </w:p>
        </w:tc>
      </w:tr>
      <w:tr w:rsidR="001D49D6" w:rsidRPr="002460D5" w:rsidTr="00C7484C">
        <w:tc>
          <w:tcPr>
            <w:tcW w:w="246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4 и более лет</w:t>
            </w:r>
          </w:p>
        </w:tc>
        <w:tc>
          <w:tcPr>
            <w:tcW w:w="2461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I</w:t>
            </w:r>
          </w:p>
        </w:tc>
        <w:tc>
          <w:tcPr>
            <w:tcW w:w="2465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I–II</w:t>
            </w:r>
          </w:p>
        </w:tc>
        <w:tc>
          <w:tcPr>
            <w:tcW w:w="246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III</w:t>
            </w:r>
          </w:p>
        </w:tc>
      </w:tr>
      <w:tr w:rsidR="001D49D6" w:rsidRPr="002460D5" w:rsidTr="00C7484C">
        <w:tc>
          <w:tcPr>
            <w:tcW w:w="246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3–3,5 года</w:t>
            </w:r>
          </w:p>
        </w:tc>
        <w:tc>
          <w:tcPr>
            <w:tcW w:w="2461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I</w:t>
            </w:r>
          </w:p>
        </w:tc>
        <w:tc>
          <w:tcPr>
            <w:tcW w:w="2465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II</w:t>
            </w:r>
          </w:p>
        </w:tc>
        <w:tc>
          <w:tcPr>
            <w:tcW w:w="246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III–IV</w:t>
            </w:r>
          </w:p>
        </w:tc>
      </w:tr>
      <w:tr w:rsidR="001D49D6" w:rsidRPr="002460D5" w:rsidTr="00C7484C">
        <w:tc>
          <w:tcPr>
            <w:tcW w:w="246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2,5 года</w:t>
            </w:r>
          </w:p>
        </w:tc>
        <w:tc>
          <w:tcPr>
            <w:tcW w:w="2461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II</w:t>
            </w:r>
          </w:p>
        </w:tc>
        <w:tc>
          <w:tcPr>
            <w:tcW w:w="2465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III</w:t>
            </w:r>
          </w:p>
        </w:tc>
        <w:tc>
          <w:tcPr>
            <w:tcW w:w="246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IV</w:t>
            </w:r>
          </w:p>
        </w:tc>
      </w:tr>
      <w:tr w:rsidR="001D49D6" w:rsidRPr="002460D5" w:rsidTr="00C7484C">
        <w:tc>
          <w:tcPr>
            <w:tcW w:w="246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1,5–2 года</w:t>
            </w:r>
          </w:p>
        </w:tc>
        <w:tc>
          <w:tcPr>
            <w:tcW w:w="2461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–</w:t>
            </w:r>
            <w:r w:rsidRPr="00B34798">
              <w:rPr>
                <w:rFonts w:eastAsia="Calibri"/>
                <w:szCs w:val="22"/>
                <w:lang w:eastAsia="en-US"/>
              </w:rPr>
              <w:t>*</w:t>
            </w:r>
          </w:p>
        </w:tc>
        <w:tc>
          <w:tcPr>
            <w:tcW w:w="2465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IV</w:t>
            </w:r>
          </w:p>
        </w:tc>
        <w:tc>
          <w:tcPr>
            <w:tcW w:w="246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IV–V</w:t>
            </w:r>
          </w:p>
        </w:tc>
      </w:tr>
      <w:tr w:rsidR="001D49D6" w:rsidRPr="002460D5" w:rsidTr="00C7484C">
        <w:tc>
          <w:tcPr>
            <w:tcW w:w="246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1 год</w:t>
            </w:r>
          </w:p>
        </w:tc>
        <w:tc>
          <w:tcPr>
            <w:tcW w:w="2461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–</w:t>
            </w:r>
          </w:p>
        </w:tc>
        <w:tc>
          <w:tcPr>
            <w:tcW w:w="2465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IV</w:t>
            </w:r>
          </w:p>
        </w:tc>
        <w:tc>
          <w:tcPr>
            <w:tcW w:w="246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V–VI</w:t>
            </w:r>
          </w:p>
        </w:tc>
      </w:tr>
      <w:tr w:rsidR="001D49D6" w:rsidRPr="002460D5" w:rsidTr="00C7484C">
        <w:tc>
          <w:tcPr>
            <w:tcW w:w="246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i/>
                <w:szCs w:val="22"/>
                <w:lang w:eastAsia="en-US"/>
              </w:rPr>
            </w:pPr>
            <w:r w:rsidRPr="00B34798">
              <w:rPr>
                <w:rFonts w:eastAsia="Calibri"/>
                <w:i/>
                <w:szCs w:val="22"/>
                <w:lang w:eastAsia="en-US"/>
              </w:rPr>
              <w:t>менее 1 года</w:t>
            </w:r>
          </w:p>
        </w:tc>
        <w:tc>
          <w:tcPr>
            <w:tcW w:w="2461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–</w:t>
            </w:r>
          </w:p>
        </w:tc>
        <w:tc>
          <w:tcPr>
            <w:tcW w:w="2465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–</w:t>
            </w:r>
          </w:p>
        </w:tc>
        <w:tc>
          <w:tcPr>
            <w:tcW w:w="246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val="en-US" w:eastAsia="en-US"/>
              </w:rPr>
              <w:t>VI</w:t>
            </w:r>
          </w:p>
        </w:tc>
      </w:tr>
    </w:tbl>
    <w:p w:rsidR="001D49D6" w:rsidRPr="00B34798" w:rsidRDefault="001D49D6" w:rsidP="001D49D6">
      <w:pPr>
        <w:spacing w:line="360" w:lineRule="auto"/>
        <w:jc w:val="both"/>
        <w:rPr>
          <w:rFonts w:eastAsia="Calibri"/>
          <w:i/>
          <w:lang w:eastAsia="en-US"/>
        </w:rPr>
      </w:pPr>
      <w:r w:rsidRPr="00B34798">
        <w:rPr>
          <w:rFonts w:eastAsia="Calibri"/>
          <w:i/>
          <w:lang w:eastAsia="en-US"/>
        </w:rPr>
        <w:t>Примечание: * – прочерк означает, что ситуация в природе не встречается.</w:t>
      </w:r>
    </w:p>
    <w:p w:rsidR="001D49D6" w:rsidRPr="00B34798" w:rsidRDefault="001D49D6" w:rsidP="001D49D6">
      <w:pPr>
        <w:spacing w:line="360" w:lineRule="auto"/>
        <w:jc w:val="right"/>
        <w:rPr>
          <w:rFonts w:eastAsia="Calibri"/>
          <w:i/>
          <w:lang w:eastAsia="en-US"/>
        </w:rPr>
      </w:pPr>
      <w:r w:rsidRPr="00B34798">
        <w:rPr>
          <w:rFonts w:eastAsia="Calibri"/>
          <w:i/>
          <w:lang w:eastAsia="en-US"/>
        </w:rPr>
        <w:t>Таблица 3</w:t>
      </w:r>
    </w:p>
    <w:p w:rsidR="001D49D6" w:rsidRPr="00B34798" w:rsidRDefault="001D49D6" w:rsidP="001D49D6">
      <w:pPr>
        <w:spacing w:line="360" w:lineRule="auto"/>
        <w:jc w:val="center"/>
        <w:rPr>
          <w:rFonts w:eastAsia="Calibri"/>
          <w:lang w:eastAsia="en-US"/>
        </w:rPr>
      </w:pPr>
      <w:r w:rsidRPr="00B34798">
        <w:rPr>
          <w:rFonts w:eastAsia="Calibri"/>
          <w:lang w:eastAsia="en-US"/>
        </w:rPr>
        <w:t>Сравнительная характеристика чистоты воздуха в разных точках наблюдения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54"/>
        <w:gridCol w:w="2800"/>
      </w:tblGrid>
      <w:tr w:rsidR="001D49D6" w:rsidRPr="002460D5" w:rsidTr="00C7484C">
        <w:tc>
          <w:tcPr>
            <w:tcW w:w="7053" w:type="dxa"/>
            <w:shd w:val="clear" w:color="auto" w:fill="auto"/>
            <w:tcMar>
              <w:left w:w="108" w:type="dxa"/>
            </w:tcMar>
            <w:vAlign w:val="center"/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34798">
              <w:rPr>
                <w:rFonts w:eastAsia="Calibri"/>
                <w:szCs w:val="22"/>
                <w:lang w:eastAsia="en-US"/>
              </w:rPr>
              <w:t>Точка наблюдения</w:t>
            </w:r>
          </w:p>
        </w:tc>
        <w:tc>
          <w:tcPr>
            <w:tcW w:w="2800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val="en-US" w:eastAsia="en-US"/>
              </w:rPr>
            </w:pPr>
            <w:r w:rsidRPr="00B34798">
              <w:rPr>
                <w:rFonts w:eastAsia="Calibri"/>
                <w:szCs w:val="22"/>
                <w:lang w:eastAsia="en-US"/>
              </w:rPr>
              <w:t>Чистота воздуха</w:t>
            </w:r>
          </w:p>
        </w:tc>
      </w:tr>
      <w:tr w:rsidR="001D49D6" w:rsidRPr="002460D5" w:rsidTr="00C7484C">
        <w:tc>
          <w:tcPr>
            <w:tcW w:w="7053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800" w:type="dxa"/>
            <w:shd w:val="clear" w:color="auto" w:fill="auto"/>
            <w:tcMar>
              <w:left w:w="108" w:type="dxa"/>
            </w:tcMar>
          </w:tcPr>
          <w:p w:rsidR="001D49D6" w:rsidRPr="00B34798" w:rsidRDefault="001D49D6" w:rsidP="00C7484C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</w:tbl>
    <w:p w:rsidR="001D49D6" w:rsidRPr="00B34798" w:rsidRDefault="001D49D6" w:rsidP="001D49D6">
      <w:pPr>
        <w:spacing w:line="360" w:lineRule="auto"/>
        <w:jc w:val="center"/>
        <w:rPr>
          <w:rFonts w:eastAsia="Calibri"/>
          <w:lang w:eastAsia="en-US"/>
        </w:rPr>
      </w:pPr>
    </w:p>
    <w:p w:rsidR="001D49D6" w:rsidRPr="00690E81" w:rsidRDefault="001D49D6" w:rsidP="001D49D6">
      <w:pPr>
        <w:shd w:val="clear" w:color="auto" w:fill="FFFFFF"/>
        <w:suppressAutoHyphens w:val="0"/>
        <w:spacing w:line="276" w:lineRule="auto"/>
        <w:ind w:firstLine="708"/>
        <w:jc w:val="both"/>
        <w:rPr>
          <w:rFonts w:ascii="Arial" w:hAnsi="Arial" w:cs="Arial"/>
          <w:color w:val="323232"/>
          <w:sz w:val="18"/>
          <w:szCs w:val="18"/>
          <w:lang w:eastAsia="ru-RU"/>
        </w:rPr>
      </w:pPr>
      <w:r w:rsidRPr="00690E81">
        <w:rPr>
          <w:color w:val="000000"/>
          <w:lang w:eastAsia="ru-RU"/>
        </w:rPr>
        <w:t>Кроме изучения вегетативных органов можно выполнить дополнительное исследование и по генеративным органам сосны – шишкам.</w:t>
      </w:r>
    </w:p>
    <w:p w:rsidR="001D49D6" w:rsidRPr="00690E81" w:rsidRDefault="001D49D6" w:rsidP="001D49D6">
      <w:pPr>
        <w:shd w:val="clear" w:color="auto" w:fill="FFFFFF"/>
        <w:suppressAutoHyphens w:val="0"/>
        <w:spacing w:line="276" w:lineRule="auto"/>
        <w:ind w:firstLine="708"/>
        <w:jc w:val="both"/>
        <w:rPr>
          <w:rFonts w:ascii="Arial" w:hAnsi="Arial" w:cs="Arial"/>
          <w:color w:val="323232"/>
          <w:sz w:val="18"/>
          <w:szCs w:val="18"/>
          <w:lang w:eastAsia="ru-RU"/>
        </w:rPr>
      </w:pPr>
      <w:r w:rsidRPr="00690E81">
        <w:rPr>
          <w:color w:val="000000"/>
          <w:lang w:eastAsia="ru-RU"/>
        </w:rPr>
        <w:t xml:space="preserve">Для этого в каждой точке отбирается по 10 шишек с нескольких деревьев. Шишки должны быть одинакового возраста – </w:t>
      </w:r>
      <w:proofErr w:type="spellStart"/>
      <w:r w:rsidRPr="00690E81">
        <w:rPr>
          <w:color w:val="000000"/>
          <w:lang w:eastAsia="ru-RU"/>
        </w:rPr>
        <w:t>т</w:t>
      </w:r>
      <w:proofErr w:type="gramStart"/>
      <w:r w:rsidRPr="00690E81">
        <w:rPr>
          <w:color w:val="000000"/>
          <w:lang w:eastAsia="ru-RU"/>
        </w:rPr>
        <w:t>.е</w:t>
      </w:r>
      <w:proofErr w:type="spellEnd"/>
      <w:proofErr w:type="gramEnd"/>
      <w:r w:rsidRPr="00690E81">
        <w:rPr>
          <w:color w:val="000000"/>
          <w:lang w:eastAsia="ru-RU"/>
        </w:rPr>
        <w:t xml:space="preserve"> степени созревания. Измеряют длину и диаметр каждой шишки, вычисляют средние арифметические значения. Чем грязнее воздух, тем обычно меньше длина и диаметр шишек.</w:t>
      </w:r>
    </w:p>
    <w:p w:rsidR="008029F5" w:rsidRDefault="008029F5">
      <w:bookmarkStart w:id="0" w:name="_GoBack"/>
      <w:bookmarkEnd w:id="0"/>
    </w:p>
    <w:sectPr w:rsidR="0080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9D6"/>
    <w:rsid w:val="001D49D6"/>
    <w:rsid w:val="0080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9D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9D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Алексюк</dc:creator>
  <cp:lastModifiedBy>Наталья Алексюк</cp:lastModifiedBy>
  <cp:revision>1</cp:revision>
  <dcterms:created xsi:type="dcterms:W3CDTF">2018-09-25T10:59:00Z</dcterms:created>
  <dcterms:modified xsi:type="dcterms:W3CDTF">2018-09-25T11:10:00Z</dcterms:modified>
</cp:coreProperties>
</file>